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B385F" w:rsidRDefault="000B385F" w:rsidP="000B385F">
      <w:pPr>
        <w:widowControl/>
        <w:suppressAutoHyphens w:val="0"/>
        <w:spacing w:after="200"/>
        <w:ind w:left="283" w:right="283" w:firstLine="567"/>
        <w:jc w:val="both"/>
        <w:rPr>
          <w:b/>
          <w:color w:val="010000"/>
          <w:sz w:val="28"/>
        </w:rPr>
      </w:pPr>
    </w:p>
    <w:p w:rsidR="000B385F" w:rsidRDefault="000B385F" w:rsidP="000B385F">
      <w:pPr>
        <w:widowControl/>
        <w:suppressAutoHyphens w:val="0"/>
        <w:spacing w:after="200"/>
        <w:ind w:left="283" w:right="283" w:firstLine="567"/>
        <w:jc w:val="both"/>
        <w:rPr>
          <w:b/>
          <w:color w:val="010000"/>
          <w:sz w:val="28"/>
        </w:rPr>
      </w:pPr>
    </w:p>
    <w:p w:rsidR="000B385F" w:rsidRDefault="000B385F" w:rsidP="000B385F">
      <w:pPr>
        <w:widowControl/>
        <w:suppressAutoHyphens w:val="0"/>
        <w:spacing w:after="200"/>
        <w:ind w:left="283" w:right="283" w:firstLine="567"/>
        <w:jc w:val="both"/>
        <w:rPr>
          <w:b/>
          <w:color w:val="010000"/>
          <w:sz w:val="28"/>
        </w:rPr>
      </w:pPr>
    </w:p>
    <w:p w:rsidR="000B385F" w:rsidRDefault="000B385F" w:rsidP="000B385F">
      <w:pPr>
        <w:widowControl/>
        <w:suppressAutoHyphens w:val="0"/>
        <w:spacing w:after="200"/>
        <w:ind w:left="283" w:right="283" w:firstLine="567"/>
        <w:jc w:val="both"/>
        <w:rPr>
          <w:b/>
          <w:color w:val="010000"/>
          <w:sz w:val="28"/>
        </w:rPr>
      </w:pPr>
    </w:p>
    <w:tbl>
      <w:tblPr>
        <w:tblW w:w="0" w:type="auto"/>
        <w:jc w:val="center"/>
        <w:tblLayout w:type="fixed"/>
        <w:tblCellMar>
          <w:left w:w="70" w:type="dxa"/>
          <w:right w:w="70" w:type="dxa"/>
        </w:tblCellMar>
        <w:tblLook w:val="0000" w:firstRow="0" w:lastRow="0" w:firstColumn="0" w:lastColumn="0" w:noHBand="0" w:noVBand="0"/>
      </w:tblPr>
      <w:tblGrid>
        <w:gridCol w:w="9072"/>
      </w:tblGrid>
      <w:tr w:rsidR="000B385F" w:rsidRPr="000B385F" w:rsidTr="000B385F">
        <w:tblPrEx>
          <w:tblCellMar>
            <w:top w:w="0" w:type="dxa"/>
            <w:bottom w:w="0" w:type="dxa"/>
          </w:tblCellMar>
        </w:tblPrEx>
        <w:trPr>
          <w:trHeight w:val="500"/>
          <w:jc w:val="center"/>
        </w:trPr>
        <w:tc>
          <w:tcPr>
            <w:tcW w:w="9072" w:type="dxa"/>
            <w:vAlign w:val="center"/>
          </w:tcPr>
          <w:p w:rsidR="000B385F" w:rsidRPr="000B385F" w:rsidRDefault="000B385F" w:rsidP="000B385F">
            <w:pPr>
              <w:widowControl/>
              <w:suppressAutoHyphens w:val="0"/>
              <w:spacing w:after="200"/>
              <w:ind w:right="283"/>
              <w:jc w:val="center"/>
              <w:rPr>
                <w:b/>
                <w:color w:val="010000"/>
                <w:sz w:val="28"/>
              </w:rPr>
            </w:pPr>
            <w:r>
              <w:rPr>
                <w:b/>
                <w:color w:val="010000"/>
                <w:sz w:val="28"/>
              </w:rPr>
              <w:t>TÜRKİYE CUMHURİYETİ</w:t>
            </w:r>
          </w:p>
        </w:tc>
      </w:tr>
      <w:tr w:rsidR="000B385F" w:rsidRPr="000B385F" w:rsidTr="000B385F">
        <w:tblPrEx>
          <w:tblCellMar>
            <w:top w:w="0" w:type="dxa"/>
            <w:bottom w:w="0" w:type="dxa"/>
          </w:tblCellMar>
        </w:tblPrEx>
        <w:trPr>
          <w:trHeight w:val="500"/>
          <w:jc w:val="center"/>
        </w:trPr>
        <w:tc>
          <w:tcPr>
            <w:tcW w:w="9072" w:type="dxa"/>
            <w:vAlign w:val="center"/>
          </w:tcPr>
          <w:p w:rsidR="000B385F" w:rsidRPr="000B385F" w:rsidRDefault="000B385F" w:rsidP="000B385F">
            <w:pPr>
              <w:widowControl/>
              <w:suppressAutoHyphens w:val="0"/>
              <w:spacing w:after="200"/>
              <w:ind w:right="283"/>
              <w:jc w:val="center"/>
              <w:rPr>
                <w:b/>
                <w:color w:val="010000"/>
                <w:sz w:val="32"/>
              </w:rPr>
            </w:pPr>
            <w:r>
              <w:rPr>
                <w:b/>
                <w:color w:val="010000"/>
                <w:sz w:val="32"/>
              </w:rPr>
              <w:t>ANAYASA MAHKEMESİ</w:t>
            </w:r>
          </w:p>
        </w:tc>
      </w:tr>
      <w:tr w:rsidR="000B385F" w:rsidRPr="000B385F" w:rsidTr="000B385F">
        <w:tblPrEx>
          <w:tblCellMar>
            <w:top w:w="0" w:type="dxa"/>
            <w:bottom w:w="0" w:type="dxa"/>
          </w:tblCellMar>
        </w:tblPrEx>
        <w:trPr>
          <w:trHeight w:val="500"/>
          <w:jc w:val="center"/>
        </w:trPr>
        <w:tc>
          <w:tcPr>
            <w:tcW w:w="9072" w:type="dxa"/>
            <w:vAlign w:val="center"/>
          </w:tcPr>
          <w:p w:rsidR="000B385F" w:rsidRPr="000B385F" w:rsidRDefault="000B385F" w:rsidP="000B385F">
            <w:pPr>
              <w:widowControl/>
              <w:suppressAutoHyphens w:val="0"/>
              <w:spacing w:after="200"/>
              <w:ind w:right="283"/>
              <w:jc w:val="center"/>
              <w:rPr>
                <w:b/>
                <w:color w:val="010000"/>
              </w:rPr>
            </w:pPr>
          </w:p>
        </w:tc>
      </w:tr>
      <w:tr w:rsidR="000B385F" w:rsidRPr="000B385F" w:rsidTr="000B385F">
        <w:tblPrEx>
          <w:tblCellMar>
            <w:top w:w="0" w:type="dxa"/>
            <w:bottom w:w="0" w:type="dxa"/>
          </w:tblCellMar>
        </w:tblPrEx>
        <w:trPr>
          <w:trHeight w:val="500"/>
          <w:jc w:val="center"/>
        </w:trPr>
        <w:tc>
          <w:tcPr>
            <w:tcW w:w="9072" w:type="dxa"/>
            <w:vAlign w:val="center"/>
          </w:tcPr>
          <w:p w:rsidR="000B385F" w:rsidRPr="000B385F" w:rsidRDefault="000B385F" w:rsidP="000B385F">
            <w:pPr>
              <w:widowControl/>
              <w:suppressAutoHyphens w:val="0"/>
              <w:spacing w:after="200"/>
              <w:ind w:right="283"/>
              <w:jc w:val="center"/>
              <w:rPr>
                <w:b/>
                <w:color w:val="010000"/>
              </w:rPr>
            </w:pPr>
          </w:p>
        </w:tc>
      </w:tr>
      <w:tr w:rsidR="000B385F" w:rsidRPr="000B385F" w:rsidTr="000B385F">
        <w:tblPrEx>
          <w:tblCellMar>
            <w:top w:w="0" w:type="dxa"/>
            <w:bottom w:w="0" w:type="dxa"/>
          </w:tblCellMar>
        </w:tblPrEx>
        <w:trPr>
          <w:trHeight w:val="500"/>
          <w:jc w:val="center"/>
        </w:trPr>
        <w:tc>
          <w:tcPr>
            <w:tcW w:w="9072" w:type="dxa"/>
            <w:vAlign w:val="center"/>
          </w:tcPr>
          <w:p w:rsidR="000B385F" w:rsidRPr="000B385F" w:rsidRDefault="000B385F" w:rsidP="000B385F">
            <w:pPr>
              <w:widowControl/>
              <w:suppressAutoHyphens w:val="0"/>
              <w:spacing w:after="200"/>
              <w:ind w:right="283"/>
              <w:jc w:val="center"/>
              <w:rPr>
                <w:b/>
                <w:color w:val="010000"/>
              </w:rPr>
            </w:pPr>
            <w:r>
              <w:rPr>
                <w:b/>
                <w:color w:val="010000"/>
              </w:rPr>
              <w:t>BİRİNCİ BÖLÜM</w:t>
            </w:r>
          </w:p>
        </w:tc>
      </w:tr>
      <w:tr w:rsidR="000B385F" w:rsidRPr="000B385F" w:rsidTr="000B385F">
        <w:tblPrEx>
          <w:tblCellMar>
            <w:top w:w="0" w:type="dxa"/>
            <w:bottom w:w="0" w:type="dxa"/>
          </w:tblCellMar>
        </w:tblPrEx>
        <w:trPr>
          <w:trHeight w:val="500"/>
          <w:jc w:val="center"/>
        </w:trPr>
        <w:tc>
          <w:tcPr>
            <w:tcW w:w="9072" w:type="dxa"/>
            <w:vAlign w:val="center"/>
          </w:tcPr>
          <w:p w:rsidR="000B385F" w:rsidRPr="000B385F" w:rsidRDefault="000B385F" w:rsidP="000B385F">
            <w:pPr>
              <w:widowControl/>
              <w:suppressAutoHyphens w:val="0"/>
              <w:spacing w:after="200"/>
              <w:ind w:right="283"/>
              <w:jc w:val="center"/>
              <w:rPr>
                <w:b/>
                <w:color w:val="010000"/>
              </w:rPr>
            </w:pPr>
          </w:p>
        </w:tc>
      </w:tr>
      <w:tr w:rsidR="000B385F" w:rsidRPr="000B385F" w:rsidTr="000B385F">
        <w:tblPrEx>
          <w:tblCellMar>
            <w:top w:w="0" w:type="dxa"/>
            <w:bottom w:w="0" w:type="dxa"/>
          </w:tblCellMar>
        </w:tblPrEx>
        <w:trPr>
          <w:trHeight w:val="500"/>
          <w:jc w:val="center"/>
        </w:trPr>
        <w:tc>
          <w:tcPr>
            <w:tcW w:w="9072" w:type="dxa"/>
            <w:vAlign w:val="center"/>
          </w:tcPr>
          <w:p w:rsidR="000B385F" w:rsidRPr="000B385F" w:rsidRDefault="000B385F" w:rsidP="000B385F">
            <w:pPr>
              <w:widowControl/>
              <w:suppressAutoHyphens w:val="0"/>
              <w:spacing w:after="200"/>
              <w:ind w:right="283"/>
              <w:jc w:val="center"/>
              <w:rPr>
                <w:b/>
                <w:color w:val="010000"/>
              </w:rPr>
            </w:pPr>
            <w:r>
              <w:rPr>
                <w:b/>
                <w:color w:val="010000"/>
              </w:rPr>
              <w:t>KARAR</w:t>
            </w:r>
          </w:p>
        </w:tc>
      </w:tr>
      <w:tr w:rsidR="000B385F" w:rsidRPr="000B385F" w:rsidTr="000B385F">
        <w:tblPrEx>
          <w:tblCellMar>
            <w:top w:w="0" w:type="dxa"/>
            <w:bottom w:w="0" w:type="dxa"/>
          </w:tblCellMar>
        </w:tblPrEx>
        <w:trPr>
          <w:trHeight w:val="500"/>
          <w:jc w:val="center"/>
        </w:trPr>
        <w:tc>
          <w:tcPr>
            <w:tcW w:w="9072" w:type="dxa"/>
            <w:vAlign w:val="center"/>
          </w:tcPr>
          <w:p w:rsidR="000B385F" w:rsidRPr="000B385F" w:rsidRDefault="000B385F" w:rsidP="000B385F">
            <w:pPr>
              <w:widowControl/>
              <w:suppressAutoHyphens w:val="0"/>
              <w:spacing w:after="200"/>
              <w:ind w:right="283"/>
              <w:jc w:val="center"/>
              <w:rPr>
                <w:b/>
                <w:color w:val="010000"/>
              </w:rPr>
            </w:pPr>
          </w:p>
        </w:tc>
      </w:tr>
      <w:tr w:rsidR="000B385F" w:rsidRPr="000B385F" w:rsidTr="000B385F">
        <w:tblPrEx>
          <w:tblCellMar>
            <w:top w:w="0" w:type="dxa"/>
            <w:bottom w:w="0" w:type="dxa"/>
          </w:tblCellMar>
        </w:tblPrEx>
        <w:trPr>
          <w:trHeight w:val="500"/>
          <w:jc w:val="center"/>
        </w:trPr>
        <w:tc>
          <w:tcPr>
            <w:tcW w:w="9072" w:type="dxa"/>
            <w:vAlign w:val="center"/>
          </w:tcPr>
          <w:p w:rsidR="000B385F" w:rsidRPr="000B385F" w:rsidRDefault="000B385F" w:rsidP="000B385F">
            <w:pPr>
              <w:widowControl/>
              <w:suppressAutoHyphens w:val="0"/>
              <w:spacing w:after="200"/>
              <w:ind w:right="283"/>
              <w:jc w:val="center"/>
              <w:rPr>
                <w:b/>
                <w:color w:val="010000"/>
              </w:rPr>
            </w:pPr>
            <w:r>
              <w:rPr>
                <w:b/>
                <w:color w:val="010000"/>
              </w:rPr>
              <w:t>NURCAN ÇELİK VE DİĞERLERİ BAŞVURUSU</w:t>
            </w:r>
          </w:p>
        </w:tc>
      </w:tr>
      <w:tr w:rsidR="000B385F" w:rsidRPr="000B385F" w:rsidTr="000B385F">
        <w:tblPrEx>
          <w:tblCellMar>
            <w:top w:w="0" w:type="dxa"/>
            <w:bottom w:w="0" w:type="dxa"/>
          </w:tblCellMar>
        </w:tblPrEx>
        <w:trPr>
          <w:trHeight w:val="500"/>
          <w:jc w:val="center"/>
        </w:trPr>
        <w:tc>
          <w:tcPr>
            <w:tcW w:w="9072" w:type="dxa"/>
            <w:vAlign w:val="center"/>
          </w:tcPr>
          <w:p w:rsidR="000B385F" w:rsidRPr="000B385F" w:rsidRDefault="000B385F" w:rsidP="000B385F">
            <w:pPr>
              <w:widowControl/>
              <w:suppressAutoHyphens w:val="0"/>
              <w:spacing w:after="200"/>
              <w:ind w:right="283"/>
              <w:jc w:val="center"/>
              <w:rPr>
                <w:color w:val="010000"/>
              </w:rPr>
            </w:pPr>
            <w:r>
              <w:rPr>
                <w:color w:val="010000"/>
              </w:rPr>
              <w:t>(Başvuru Numarası: 2022/22017)</w:t>
            </w:r>
          </w:p>
        </w:tc>
      </w:tr>
      <w:tr w:rsidR="000B385F" w:rsidRPr="000B385F" w:rsidTr="000B385F">
        <w:tblPrEx>
          <w:tblCellMar>
            <w:top w:w="0" w:type="dxa"/>
            <w:bottom w:w="0" w:type="dxa"/>
          </w:tblCellMar>
        </w:tblPrEx>
        <w:trPr>
          <w:trHeight w:val="500"/>
          <w:jc w:val="center"/>
        </w:trPr>
        <w:tc>
          <w:tcPr>
            <w:tcW w:w="9072" w:type="dxa"/>
            <w:vAlign w:val="center"/>
          </w:tcPr>
          <w:p w:rsidR="000B385F" w:rsidRPr="000B385F" w:rsidRDefault="000B385F" w:rsidP="000B385F">
            <w:pPr>
              <w:widowControl/>
              <w:suppressAutoHyphens w:val="0"/>
              <w:spacing w:after="200"/>
              <w:ind w:right="283"/>
              <w:jc w:val="center"/>
              <w:rPr>
                <w:b/>
                <w:color w:val="010000"/>
              </w:rPr>
            </w:pPr>
          </w:p>
        </w:tc>
      </w:tr>
      <w:tr w:rsidR="000B385F" w:rsidRPr="000B385F" w:rsidTr="000B385F">
        <w:tblPrEx>
          <w:tblCellMar>
            <w:top w:w="0" w:type="dxa"/>
            <w:bottom w:w="0" w:type="dxa"/>
          </w:tblCellMar>
        </w:tblPrEx>
        <w:trPr>
          <w:trHeight w:val="500"/>
          <w:jc w:val="center"/>
        </w:trPr>
        <w:tc>
          <w:tcPr>
            <w:tcW w:w="9072" w:type="dxa"/>
            <w:vAlign w:val="center"/>
          </w:tcPr>
          <w:p w:rsidR="000B385F" w:rsidRPr="000B385F" w:rsidRDefault="000B385F" w:rsidP="000B385F">
            <w:pPr>
              <w:widowControl/>
              <w:suppressAutoHyphens w:val="0"/>
              <w:spacing w:after="200"/>
              <w:ind w:right="283"/>
              <w:jc w:val="center"/>
              <w:rPr>
                <w:color w:val="010000"/>
              </w:rPr>
            </w:pPr>
            <w:r>
              <w:rPr>
                <w:color w:val="010000"/>
              </w:rPr>
              <w:t>Karar Tarihi: 14/5/2025</w:t>
            </w:r>
          </w:p>
        </w:tc>
      </w:tr>
      <w:tr w:rsidR="000B385F" w:rsidRPr="000B385F" w:rsidTr="000B385F">
        <w:tblPrEx>
          <w:tblCellMar>
            <w:top w:w="0" w:type="dxa"/>
            <w:bottom w:w="0" w:type="dxa"/>
          </w:tblCellMar>
        </w:tblPrEx>
        <w:trPr>
          <w:trHeight w:val="500"/>
          <w:jc w:val="center"/>
        </w:trPr>
        <w:tc>
          <w:tcPr>
            <w:tcW w:w="9072" w:type="dxa"/>
            <w:vAlign w:val="center"/>
          </w:tcPr>
          <w:p w:rsidR="000B385F" w:rsidRPr="000B385F" w:rsidRDefault="000B385F" w:rsidP="000B385F">
            <w:pPr>
              <w:widowControl/>
              <w:suppressAutoHyphens w:val="0"/>
              <w:spacing w:after="200"/>
              <w:ind w:right="283"/>
              <w:jc w:val="center"/>
              <w:rPr>
                <w:color w:val="010000"/>
              </w:rPr>
            </w:pPr>
          </w:p>
        </w:tc>
      </w:tr>
      <w:tr w:rsidR="000B385F" w:rsidRPr="000B385F" w:rsidTr="000B385F">
        <w:tblPrEx>
          <w:tblCellMar>
            <w:top w:w="0" w:type="dxa"/>
            <w:bottom w:w="0" w:type="dxa"/>
          </w:tblCellMar>
        </w:tblPrEx>
        <w:trPr>
          <w:trHeight w:val="500"/>
          <w:jc w:val="center"/>
        </w:trPr>
        <w:tc>
          <w:tcPr>
            <w:tcW w:w="9072" w:type="dxa"/>
            <w:vAlign w:val="center"/>
          </w:tcPr>
          <w:p w:rsidR="000B385F" w:rsidRPr="000B385F" w:rsidRDefault="000B385F" w:rsidP="000B385F">
            <w:pPr>
              <w:widowControl/>
              <w:suppressAutoHyphens w:val="0"/>
              <w:spacing w:after="200"/>
              <w:ind w:right="283"/>
              <w:jc w:val="center"/>
              <w:rPr>
                <w:b/>
                <w:color w:val="010000"/>
              </w:rPr>
            </w:pPr>
          </w:p>
        </w:tc>
      </w:tr>
      <w:tr w:rsidR="000B385F" w:rsidRPr="000B385F" w:rsidTr="000B385F">
        <w:tblPrEx>
          <w:tblCellMar>
            <w:top w:w="0" w:type="dxa"/>
            <w:bottom w:w="0" w:type="dxa"/>
          </w:tblCellMar>
        </w:tblPrEx>
        <w:trPr>
          <w:trHeight w:val="500"/>
          <w:jc w:val="center"/>
        </w:trPr>
        <w:tc>
          <w:tcPr>
            <w:tcW w:w="9072" w:type="dxa"/>
            <w:vAlign w:val="center"/>
          </w:tcPr>
          <w:p w:rsidR="000B385F" w:rsidRPr="000B385F" w:rsidRDefault="000B385F" w:rsidP="000B385F">
            <w:pPr>
              <w:widowControl/>
              <w:suppressAutoHyphens w:val="0"/>
              <w:spacing w:after="200"/>
              <w:ind w:right="283"/>
              <w:jc w:val="center"/>
              <w:rPr>
                <w:b/>
                <w:color w:val="010000"/>
              </w:rPr>
            </w:pPr>
          </w:p>
        </w:tc>
      </w:tr>
      <w:tr w:rsidR="000B385F" w:rsidRPr="000B385F" w:rsidTr="000B385F">
        <w:tblPrEx>
          <w:tblCellMar>
            <w:top w:w="0" w:type="dxa"/>
            <w:bottom w:w="0" w:type="dxa"/>
          </w:tblCellMar>
        </w:tblPrEx>
        <w:trPr>
          <w:trHeight w:val="500"/>
          <w:jc w:val="center"/>
        </w:trPr>
        <w:tc>
          <w:tcPr>
            <w:tcW w:w="9072" w:type="dxa"/>
            <w:vAlign w:val="center"/>
          </w:tcPr>
          <w:p w:rsidR="000B385F" w:rsidRPr="000B385F" w:rsidRDefault="000B385F" w:rsidP="000B385F">
            <w:pPr>
              <w:widowControl/>
              <w:suppressAutoHyphens w:val="0"/>
              <w:spacing w:after="200"/>
              <w:ind w:right="283"/>
              <w:jc w:val="center"/>
              <w:rPr>
                <w:b/>
                <w:color w:val="010000"/>
              </w:rPr>
            </w:pPr>
          </w:p>
        </w:tc>
      </w:tr>
      <w:tr w:rsidR="000B385F" w:rsidRPr="000B385F" w:rsidTr="000B385F">
        <w:tblPrEx>
          <w:tblCellMar>
            <w:top w:w="0" w:type="dxa"/>
            <w:bottom w:w="0" w:type="dxa"/>
          </w:tblCellMar>
        </w:tblPrEx>
        <w:trPr>
          <w:trHeight w:val="500"/>
          <w:jc w:val="center"/>
        </w:trPr>
        <w:tc>
          <w:tcPr>
            <w:tcW w:w="9072" w:type="dxa"/>
            <w:vAlign w:val="center"/>
          </w:tcPr>
          <w:p w:rsidR="000B385F" w:rsidRPr="000B385F" w:rsidRDefault="000B385F" w:rsidP="000B385F">
            <w:pPr>
              <w:widowControl/>
              <w:suppressAutoHyphens w:val="0"/>
              <w:spacing w:after="200"/>
              <w:ind w:right="283"/>
              <w:jc w:val="center"/>
              <w:rPr>
                <w:b/>
                <w:color w:val="010000"/>
              </w:rPr>
            </w:pPr>
          </w:p>
        </w:tc>
      </w:tr>
    </w:tbl>
    <w:p w:rsidR="000B385F" w:rsidRDefault="000B385F" w:rsidP="000B385F">
      <w:pPr>
        <w:widowControl/>
        <w:suppressAutoHyphens w:val="0"/>
        <w:spacing w:after="200"/>
        <w:ind w:left="283" w:right="283" w:firstLine="567"/>
        <w:jc w:val="both"/>
        <w:rPr>
          <w:b/>
          <w:color w:val="010000"/>
        </w:rPr>
        <w:sectPr w:rsidR="000B385F" w:rsidSect="000B385F">
          <w:headerReference w:type="default" r:id="rId6"/>
          <w:pgSz w:w="11906" w:h="16838"/>
          <w:pgMar w:top="976" w:right="1417" w:bottom="1400" w:left="1417" w:header="400" w:footer="708" w:gutter="0"/>
          <w:cols w:space="708"/>
          <w:titlePg/>
          <w:docGrid w:linePitch="600" w:charSpace="32768"/>
        </w:sectPr>
      </w:pPr>
    </w:p>
    <w:p w:rsidR="000B385F" w:rsidRDefault="000B385F" w:rsidP="000B385F">
      <w:pPr>
        <w:widowControl/>
        <w:suppressAutoHyphens w:val="0"/>
        <w:spacing w:after="200"/>
        <w:ind w:left="283" w:right="283" w:firstLine="567"/>
        <w:jc w:val="both"/>
        <w:rPr>
          <w:b/>
          <w:color w:val="010000"/>
        </w:rPr>
      </w:pPr>
    </w:p>
    <w:p w:rsidR="007B06B9" w:rsidRPr="000B385F" w:rsidRDefault="00870CDE" w:rsidP="000B385F">
      <w:pPr>
        <w:widowControl/>
        <w:suppressAutoHyphens w:val="0"/>
        <w:spacing w:after="200"/>
        <w:ind w:left="283" w:right="283" w:firstLine="1"/>
        <w:jc w:val="center"/>
        <w:rPr>
          <w:color w:val="010000"/>
        </w:rPr>
      </w:pPr>
      <w:r w:rsidRPr="000B385F">
        <w:rPr>
          <w:b/>
          <w:color w:val="010000"/>
        </w:rPr>
        <w:t>BİRİNCİ BÖLÜM</w:t>
      </w:r>
    </w:p>
    <w:p w:rsidR="007B06B9" w:rsidRPr="000B385F" w:rsidRDefault="00870CDE" w:rsidP="000B385F">
      <w:pPr>
        <w:widowControl/>
        <w:suppressAutoHyphens w:val="0"/>
        <w:spacing w:after="200"/>
        <w:ind w:left="283" w:right="283" w:firstLine="1"/>
        <w:jc w:val="center"/>
        <w:rPr>
          <w:color w:val="010000"/>
        </w:rPr>
      </w:pPr>
      <w:r w:rsidRPr="000B385F">
        <w:rPr>
          <w:b/>
          <w:color w:val="010000"/>
        </w:rPr>
        <w:t>KARAR</w:t>
      </w:r>
    </w:p>
    <w:p w:rsidR="000B385F" w:rsidRDefault="000B385F" w:rsidP="000B385F">
      <w:pPr>
        <w:widowControl/>
        <w:suppressAutoHyphens w:val="0"/>
        <w:spacing w:after="200"/>
        <w:ind w:left="283" w:right="283" w:firstLine="567"/>
        <w:jc w:val="both"/>
        <w:rPr>
          <w:b/>
          <w:color w:val="010000"/>
          <w:lang w:eastAsia="ja-JP" w:bidi="fa-IR"/>
        </w:rPr>
      </w:pPr>
    </w:p>
    <w:tbl>
      <w:tblPr>
        <w:tblW w:w="0" w:type="auto"/>
        <w:tblInd w:w="800" w:type="dxa"/>
        <w:tblLayout w:type="fixed"/>
        <w:tblCellMar>
          <w:left w:w="70" w:type="dxa"/>
          <w:right w:w="70" w:type="dxa"/>
        </w:tblCellMar>
        <w:tblLook w:val="0000" w:firstRow="0" w:lastRow="0" w:firstColumn="0" w:lastColumn="0" w:noHBand="0" w:noVBand="0"/>
      </w:tblPr>
      <w:tblGrid>
        <w:gridCol w:w="2400"/>
        <w:gridCol w:w="200"/>
        <w:gridCol w:w="5400"/>
      </w:tblGrid>
      <w:tr w:rsidR="000B385F" w:rsidRPr="000B385F" w:rsidTr="000B385F">
        <w:tblPrEx>
          <w:tblCellMar>
            <w:top w:w="0" w:type="dxa"/>
            <w:bottom w:w="0" w:type="dxa"/>
          </w:tblCellMar>
        </w:tblPrEx>
        <w:trPr>
          <w:trHeight w:val="454"/>
        </w:trPr>
        <w:tc>
          <w:tcPr>
            <w:tcW w:w="2400" w:type="dxa"/>
          </w:tcPr>
          <w:p w:rsidR="000B385F" w:rsidRPr="000B385F" w:rsidRDefault="000B385F" w:rsidP="000B385F">
            <w:pPr>
              <w:widowControl/>
              <w:suppressAutoHyphens w:val="0"/>
              <w:rPr>
                <w:b/>
                <w:color w:val="010000"/>
              </w:rPr>
            </w:pPr>
            <w:r w:rsidRPr="000B385F">
              <w:rPr>
                <w:b/>
                <w:color w:val="010000"/>
              </w:rPr>
              <w:t>Başkan</w:t>
            </w:r>
          </w:p>
        </w:tc>
        <w:tc>
          <w:tcPr>
            <w:tcW w:w="200" w:type="dxa"/>
          </w:tcPr>
          <w:p w:rsidR="000B385F" w:rsidRPr="000B385F" w:rsidRDefault="000B385F" w:rsidP="000B385F">
            <w:pPr>
              <w:widowControl/>
              <w:suppressAutoHyphens w:val="0"/>
              <w:rPr>
                <w:b/>
                <w:color w:val="010000"/>
              </w:rPr>
            </w:pPr>
            <w:r w:rsidRPr="000B385F">
              <w:rPr>
                <w:b/>
                <w:color w:val="010000"/>
              </w:rPr>
              <w:t>:</w:t>
            </w:r>
          </w:p>
        </w:tc>
        <w:tc>
          <w:tcPr>
            <w:tcW w:w="5400" w:type="dxa"/>
          </w:tcPr>
          <w:p w:rsidR="000B385F" w:rsidRPr="000B385F" w:rsidRDefault="000B385F" w:rsidP="000B385F">
            <w:pPr>
              <w:widowControl/>
              <w:suppressAutoHyphens w:val="0"/>
              <w:rPr>
                <w:color w:val="010000"/>
              </w:rPr>
            </w:pPr>
            <w:r w:rsidRPr="000B385F">
              <w:rPr>
                <w:color w:val="010000"/>
              </w:rPr>
              <w:t>Hasan Tahsin GÖKCAN</w:t>
            </w:r>
          </w:p>
        </w:tc>
      </w:tr>
      <w:tr w:rsidR="000B385F" w:rsidRPr="000B385F" w:rsidTr="000B385F">
        <w:tblPrEx>
          <w:tblCellMar>
            <w:top w:w="0" w:type="dxa"/>
            <w:bottom w:w="0" w:type="dxa"/>
          </w:tblCellMar>
        </w:tblPrEx>
        <w:trPr>
          <w:trHeight w:val="454"/>
        </w:trPr>
        <w:tc>
          <w:tcPr>
            <w:tcW w:w="2400" w:type="dxa"/>
          </w:tcPr>
          <w:p w:rsidR="000B385F" w:rsidRPr="000B385F" w:rsidRDefault="000B385F" w:rsidP="000B385F">
            <w:pPr>
              <w:widowControl/>
              <w:suppressAutoHyphens w:val="0"/>
              <w:rPr>
                <w:b/>
                <w:color w:val="010000"/>
              </w:rPr>
            </w:pPr>
            <w:r w:rsidRPr="000B385F">
              <w:rPr>
                <w:b/>
                <w:color w:val="010000"/>
              </w:rPr>
              <w:t>Üyeler</w:t>
            </w:r>
          </w:p>
        </w:tc>
        <w:tc>
          <w:tcPr>
            <w:tcW w:w="200" w:type="dxa"/>
          </w:tcPr>
          <w:p w:rsidR="000B385F" w:rsidRPr="000B385F" w:rsidRDefault="000B385F" w:rsidP="000B385F">
            <w:pPr>
              <w:widowControl/>
              <w:suppressAutoHyphens w:val="0"/>
              <w:rPr>
                <w:b/>
                <w:color w:val="010000"/>
              </w:rPr>
            </w:pPr>
            <w:r w:rsidRPr="000B385F">
              <w:rPr>
                <w:b/>
                <w:color w:val="010000"/>
              </w:rPr>
              <w:t>:</w:t>
            </w:r>
          </w:p>
        </w:tc>
        <w:tc>
          <w:tcPr>
            <w:tcW w:w="5400" w:type="dxa"/>
          </w:tcPr>
          <w:p w:rsidR="000B385F" w:rsidRPr="000B385F" w:rsidRDefault="000B385F" w:rsidP="000B385F">
            <w:pPr>
              <w:widowControl/>
              <w:suppressAutoHyphens w:val="0"/>
              <w:rPr>
                <w:color w:val="010000"/>
              </w:rPr>
            </w:pPr>
            <w:r w:rsidRPr="000B385F">
              <w:rPr>
                <w:color w:val="010000"/>
              </w:rPr>
              <w:t>Recai AKYEL</w:t>
            </w:r>
          </w:p>
        </w:tc>
      </w:tr>
      <w:tr w:rsidR="000B385F" w:rsidRPr="000B385F" w:rsidTr="000B385F">
        <w:tblPrEx>
          <w:tblCellMar>
            <w:top w:w="0" w:type="dxa"/>
            <w:bottom w:w="0" w:type="dxa"/>
          </w:tblCellMar>
        </w:tblPrEx>
        <w:trPr>
          <w:trHeight w:val="454"/>
        </w:trPr>
        <w:tc>
          <w:tcPr>
            <w:tcW w:w="2400" w:type="dxa"/>
          </w:tcPr>
          <w:p w:rsidR="000B385F" w:rsidRPr="000B385F" w:rsidRDefault="000B385F" w:rsidP="000B385F">
            <w:pPr>
              <w:widowControl/>
              <w:suppressAutoHyphens w:val="0"/>
              <w:rPr>
                <w:b/>
                <w:color w:val="010000"/>
              </w:rPr>
            </w:pPr>
          </w:p>
        </w:tc>
        <w:tc>
          <w:tcPr>
            <w:tcW w:w="200" w:type="dxa"/>
          </w:tcPr>
          <w:p w:rsidR="000B385F" w:rsidRPr="000B385F" w:rsidRDefault="000B385F" w:rsidP="000B385F">
            <w:pPr>
              <w:widowControl/>
              <w:suppressAutoHyphens w:val="0"/>
              <w:rPr>
                <w:b/>
                <w:color w:val="010000"/>
              </w:rPr>
            </w:pPr>
          </w:p>
        </w:tc>
        <w:tc>
          <w:tcPr>
            <w:tcW w:w="5400" w:type="dxa"/>
          </w:tcPr>
          <w:p w:rsidR="000B385F" w:rsidRPr="000B385F" w:rsidRDefault="000B385F" w:rsidP="000B385F">
            <w:pPr>
              <w:widowControl/>
              <w:suppressAutoHyphens w:val="0"/>
              <w:rPr>
                <w:color w:val="010000"/>
              </w:rPr>
            </w:pPr>
            <w:r w:rsidRPr="000B385F">
              <w:rPr>
                <w:color w:val="010000"/>
              </w:rPr>
              <w:t>Yusuf Şevki HAKYEMEZ</w:t>
            </w:r>
          </w:p>
        </w:tc>
      </w:tr>
      <w:tr w:rsidR="000B385F" w:rsidRPr="000B385F" w:rsidTr="000B385F">
        <w:tblPrEx>
          <w:tblCellMar>
            <w:top w:w="0" w:type="dxa"/>
            <w:bottom w:w="0" w:type="dxa"/>
          </w:tblCellMar>
        </w:tblPrEx>
        <w:trPr>
          <w:trHeight w:val="454"/>
        </w:trPr>
        <w:tc>
          <w:tcPr>
            <w:tcW w:w="2400" w:type="dxa"/>
          </w:tcPr>
          <w:p w:rsidR="000B385F" w:rsidRPr="000B385F" w:rsidRDefault="000B385F" w:rsidP="000B385F">
            <w:pPr>
              <w:widowControl/>
              <w:suppressAutoHyphens w:val="0"/>
              <w:rPr>
                <w:b/>
                <w:color w:val="010000"/>
              </w:rPr>
            </w:pPr>
          </w:p>
        </w:tc>
        <w:tc>
          <w:tcPr>
            <w:tcW w:w="200" w:type="dxa"/>
          </w:tcPr>
          <w:p w:rsidR="000B385F" w:rsidRPr="000B385F" w:rsidRDefault="000B385F" w:rsidP="000B385F">
            <w:pPr>
              <w:widowControl/>
              <w:suppressAutoHyphens w:val="0"/>
              <w:rPr>
                <w:b/>
                <w:color w:val="010000"/>
              </w:rPr>
            </w:pPr>
          </w:p>
        </w:tc>
        <w:tc>
          <w:tcPr>
            <w:tcW w:w="5400" w:type="dxa"/>
          </w:tcPr>
          <w:p w:rsidR="000B385F" w:rsidRPr="000B385F" w:rsidRDefault="000B385F" w:rsidP="000B385F">
            <w:pPr>
              <w:widowControl/>
              <w:suppressAutoHyphens w:val="0"/>
              <w:rPr>
                <w:color w:val="010000"/>
              </w:rPr>
            </w:pPr>
            <w:r w:rsidRPr="000B385F">
              <w:rPr>
                <w:color w:val="010000"/>
              </w:rPr>
              <w:t>Selahaddin MENTEŞ</w:t>
            </w:r>
          </w:p>
        </w:tc>
      </w:tr>
      <w:tr w:rsidR="000B385F" w:rsidRPr="000B385F" w:rsidTr="000B385F">
        <w:tblPrEx>
          <w:tblCellMar>
            <w:top w:w="0" w:type="dxa"/>
            <w:bottom w:w="0" w:type="dxa"/>
          </w:tblCellMar>
        </w:tblPrEx>
        <w:trPr>
          <w:trHeight w:val="454"/>
        </w:trPr>
        <w:tc>
          <w:tcPr>
            <w:tcW w:w="2400" w:type="dxa"/>
          </w:tcPr>
          <w:p w:rsidR="000B385F" w:rsidRPr="000B385F" w:rsidRDefault="000B385F" w:rsidP="000B385F">
            <w:pPr>
              <w:widowControl/>
              <w:suppressAutoHyphens w:val="0"/>
              <w:rPr>
                <w:b/>
                <w:color w:val="010000"/>
              </w:rPr>
            </w:pPr>
          </w:p>
        </w:tc>
        <w:tc>
          <w:tcPr>
            <w:tcW w:w="200" w:type="dxa"/>
          </w:tcPr>
          <w:p w:rsidR="000B385F" w:rsidRPr="000B385F" w:rsidRDefault="000B385F" w:rsidP="000B385F">
            <w:pPr>
              <w:widowControl/>
              <w:suppressAutoHyphens w:val="0"/>
              <w:rPr>
                <w:b/>
                <w:color w:val="010000"/>
              </w:rPr>
            </w:pPr>
          </w:p>
        </w:tc>
        <w:tc>
          <w:tcPr>
            <w:tcW w:w="5400" w:type="dxa"/>
          </w:tcPr>
          <w:p w:rsidR="000B385F" w:rsidRPr="000B385F" w:rsidRDefault="000B385F" w:rsidP="000B385F">
            <w:pPr>
              <w:widowControl/>
              <w:suppressAutoHyphens w:val="0"/>
              <w:rPr>
                <w:color w:val="010000"/>
              </w:rPr>
            </w:pPr>
            <w:r w:rsidRPr="000B385F">
              <w:rPr>
                <w:color w:val="010000"/>
              </w:rPr>
              <w:t>İrfan FİDAN</w:t>
            </w:r>
          </w:p>
        </w:tc>
      </w:tr>
      <w:tr w:rsidR="000B385F" w:rsidRPr="000B385F" w:rsidTr="000B385F">
        <w:tblPrEx>
          <w:tblCellMar>
            <w:top w:w="0" w:type="dxa"/>
            <w:bottom w:w="0" w:type="dxa"/>
          </w:tblCellMar>
        </w:tblPrEx>
        <w:trPr>
          <w:trHeight w:val="454"/>
        </w:trPr>
        <w:tc>
          <w:tcPr>
            <w:tcW w:w="2400" w:type="dxa"/>
          </w:tcPr>
          <w:p w:rsidR="000B385F" w:rsidRPr="000B385F" w:rsidRDefault="000B385F" w:rsidP="000B385F">
            <w:pPr>
              <w:widowControl/>
              <w:suppressAutoHyphens w:val="0"/>
              <w:rPr>
                <w:b/>
                <w:color w:val="010000"/>
              </w:rPr>
            </w:pPr>
            <w:r w:rsidRPr="000B385F">
              <w:rPr>
                <w:b/>
                <w:color w:val="010000"/>
              </w:rPr>
              <w:t>Raportör</w:t>
            </w:r>
          </w:p>
        </w:tc>
        <w:tc>
          <w:tcPr>
            <w:tcW w:w="200" w:type="dxa"/>
          </w:tcPr>
          <w:p w:rsidR="000B385F" w:rsidRPr="000B385F" w:rsidRDefault="000B385F" w:rsidP="000B385F">
            <w:pPr>
              <w:widowControl/>
              <w:suppressAutoHyphens w:val="0"/>
              <w:rPr>
                <w:b/>
                <w:color w:val="010000"/>
              </w:rPr>
            </w:pPr>
            <w:r w:rsidRPr="000B385F">
              <w:rPr>
                <w:b/>
                <w:color w:val="010000"/>
              </w:rPr>
              <w:t>:</w:t>
            </w:r>
          </w:p>
        </w:tc>
        <w:tc>
          <w:tcPr>
            <w:tcW w:w="5400" w:type="dxa"/>
          </w:tcPr>
          <w:p w:rsidR="000B385F" w:rsidRPr="000B385F" w:rsidRDefault="000B385F" w:rsidP="000B385F">
            <w:pPr>
              <w:widowControl/>
              <w:suppressAutoHyphens w:val="0"/>
              <w:rPr>
                <w:color w:val="010000"/>
              </w:rPr>
            </w:pPr>
            <w:r w:rsidRPr="000B385F">
              <w:rPr>
                <w:color w:val="010000"/>
              </w:rPr>
              <w:t>Ayşenur TUNCER</w:t>
            </w:r>
          </w:p>
        </w:tc>
      </w:tr>
      <w:tr w:rsidR="000B385F" w:rsidRPr="000B385F" w:rsidTr="000B385F">
        <w:tblPrEx>
          <w:tblCellMar>
            <w:top w:w="0" w:type="dxa"/>
            <w:bottom w:w="0" w:type="dxa"/>
          </w:tblCellMar>
        </w:tblPrEx>
        <w:trPr>
          <w:trHeight w:val="454"/>
        </w:trPr>
        <w:tc>
          <w:tcPr>
            <w:tcW w:w="2400" w:type="dxa"/>
          </w:tcPr>
          <w:p w:rsidR="000B385F" w:rsidRPr="000B385F" w:rsidRDefault="000B385F" w:rsidP="000B385F">
            <w:pPr>
              <w:widowControl/>
              <w:suppressAutoHyphens w:val="0"/>
              <w:rPr>
                <w:b/>
                <w:color w:val="010000"/>
              </w:rPr>
            </w:pPr>
            <w:r w:rsidRPr="000B385F">
              <w:rPr>
                <w:b/>
                <w:color w:val="010000"/>
              </w:rPr>
              <w:t>Başvurucular</w:t>
            </w:r>
          </w:p>
        </w:tc>
        <w:tc>
          <w:tcPr>
            <w:tcW w:w="200" w:type="dxa"/>
          </w:tcPr>
          <w:p w:rsidR="000B385F" w:rsidRPr="000B385F" w:rsidRDefault="000B385F" w:rsidP="000B385F">
            <w:pPr>
              <w:widowControl/>
              <w:suppressAutoHyphens w:val="0"/>
              <w:rPr>
                <w:b/>
                <w:color w:val="010000"/>
              </w:rPr>
            </w:pPr>
            <w:r w:rsidRPr="000B385F">
              <w:rPr>
                <w:b/>
                <w:color w:val="010000"/>
              </w:rPr>
              <w:t>:</w:t>
            </w:r>
          </w:p>
        </w:tc>
        <w:tc>
          <w:tcPr>
            <w:tcW w:w="5400" w:type="dxa"/>
          </w:tcPr>
          <w:p w:rsidR="000B385F" w:rsidRPr="000B385F" w:rsidRDefault="000B385F" w:rsidP="000B385F">
            <w:pPr>
              <w:widowControl/>
              <w:suppressAutoHyphens w:val="0"/>
              <w:rPr>
                <w:color w:val="010000"/>
              </w:rPr>
            </w:pPr>
            <w:r w:rsidRPr="000B385F">
              <w:rPr>
                <w:color w:val="010000"/>
              </w:rPr>
              <w:t>Nurcan ÇELİK ve diğerleri [bkz. ekli tablo (C) sütunu]</w:t>
            </w:r>
          </w:p>
        </w:tc>
      </w:tr>
      <w:tr w:rsidR="000B385F" w:rsidRPr="000B385F" w:rsidTr="000B385F">
        <w:tblPrEx>
          <w:tblCellMar>
            <w:top w:w="0" w:type="dxa"/>
            <w:bottom w:w="0" w:type="dxa"/>
          </w:tblCellMar>
        </w:tblPrEx>
        <w:trPr>
          <w:trHeight w:val="454"/>
        </w:trPr>
        <w:tc>
          <w:tcPr>
            <w:tcW w:w="2400" w:type="dxa"/>
          </w:tcPr>
          <w:p w:rsidR="000B385F" w:rsidRPr="000B385F" w:rsidRDefault="000B385F" w:rsidP="000B385F">
            <w:pPr>
              <w:widowControl/>
              <w:suppressAutoHyphens w:val="0"/>
              <w:rPr>
                <w:b/>
                <w:color w:val="010000"/>
              </w:rPr>
            </w:pPr>
            <w:r w:rsidRPr="000B385F">
              <w:rPr>
                <w:b/>
                <w:color w:val="010000"/>
              </w:rPr>
              <w:t>Vekilleri</w:t>
            </w:r>
          </w:p>
        </w:tc>
        <w:tc>
          <w:tcPr>
            <w:tcW w:w="200" w:type="dxa"/>
          </w:tcPr>
          <w:p w:rsidR="000B385F" w:rsidRPr="000B385F" w:rsidRDefault="000B385F" w:rsidP="000B385F">
            <w:pPr>
              <w:widowControl/>
              <w:suppressAutoHyphens w:val="0"/>
              <w:rPr>
                <w:b/>
                <w:color w:val="010000"/>
              </w:rPr>
            </w:pPr>
            <w:r w:rsidRPr="000B385F">
              <w:rPr>
                <w:b/>
                <w:color w:val="010000"/>
              </w:rPr>
              <w:t>:</w:t>
            </w:r>
          </w:p>
        </w:tc>
        <w:tc>
          <w:tcPr>
            <w:tcW w:w="5400" w:type="dxa"/>
          </w:tcPr>
          <w:p w:rsidR="000B385F" w:rsidRPr="000B385F" w:rsidRDefault="000B385F" w:rsidP="000B385F">
            <w:pPr>
              <w:widowControl/>
              <w:suppressAutoHyphens w:val="0"/>
              <w:rPr>
                <w:color w:val="010000"/>
              </w:rPr>
            </w:pPr>
            <w:r w:rsidRPr="000B385F">
              <w:rPr>
                <w:color w:val="010000"/>
              </w:rPr>
              <w:t>bkz. ekli listenin (D) sütunu</w:t>
            </w:r>
          </w:p>
        </w:tc>
      </w:tr>
    </w:tbl>
    <w:p w:rsidR="000B385F" w:rsidRDefault="000B385F" w:rsidP="000B385F">
      <w:pPr>
        <w:widowControl/>
        <w:suppressAutoHyphens w:val="0"/>
        <w:spacing w:after="200"/>
        <w:ind w:left="283" w:right="283" w:firstLine="567"/>
        <w:jc w:val="both"/>
        <w:rPr>
          <w:b/>
          <w:color w:val="010000"/>
        </w:rPr>
      </w:pPr>
    </w:p>
    <w:p w:rsidR="007B06B9" w:rsidRPr="000B385F" w:rsidRDefault="00870CDE" w:rsidP="000B385F">
      <w:pPr>
        <w:widowControl/>
        <w:suppressAutoHyphens w:val="0"/>
        <w:spacing w:after="200"/>
        <w:ind w:left="283" w:right="283" w:firstLine="567"/>
        <w:jc w:val="both"/>
        <w:rPr>
          <w:color w:val="010000"/>
        </w:rPr>
      </w:pPr>
      <w:bookmarkStart w:id="0" w:name="_GoBack"/>
      <w:bookmarkEnd w:id="0"/>
      <w:r w:rsidRPr="000B385F">
        <w:rPr>
          <w:b/>
          <w:color w:val="010000"/>
        </w:rPr>
        <w:t>I.</w:t>
      </w:r>
      <w:r w:rsidR="000B385F" w:rsidRPr="000B385F">
        <w:rPr>
          <w:color w:val="010000"/>
        </w:rPr>
        <w:t xml:space="preserve"> </w:t>
      </w:r>
      <w:r w:rsidRPr="000B385F">
        <w:rPr>
          <w:b/>
          <w:color w:val="010000"/>
        </w:rPr>
        <w:t>BAŞVURUNUN ÖZETİ</w:t>
      </w:r>
    </w:p>
    <w:p w:rsidR="007B06B9" w:rsidRPr="000B385F" w:rsidRDefault="00870CDE" w:rsidP="000B385F">
      <w:pPr>
        <w:pStyle w:val="edf1450279197849"/>
        <w:widowControl/>
        <w:suppressAutoHyphens w:val="0"/>
        <w:spacing w:after="200"/>
        <w:ind w:left="283" w:right="283" w:firstLine="567"/>
        <w:jc w:val="both"/>
        <w:rPr>
          <w:rFonts w:cs="Times New Roman"/>
          <w:color w:val="010000"/>
        </w:rPr>
      </w:pPr>
      <w:r w:rsidRPr="000B385F">
        <w:rPr>
          <w:rFonts w:cs="Times New Roman"/>
          <w:color w:val="010000"/>
        </w:rPr>
        <w:t>1.</w:t>
      </w:r>
      <w:r w:rsidR="000B385F" w:rsidRPr="000B385F">
        <w:rPr>
          <w:rFonts w:cs="Times New Roman"/>
          <w:color w:val="010000"/>
        </w:rPr>
        <w:t xml:space="preserve"> </w:t>
      </w:r>
      <w:r w:rsidRPr="000B385F">
        <w:rPr>
          <w:rFonts w:cs="Times New Roman"/>
          <w:color w:val="010000"/>
        </w:rPr>
        <w:t>Başvurular, boşanma davasının uzun sürmesi nedeniyle evlenme hakkı ile makul sürede yargılanma hakkının ihlal edildiği iddialarına ilişkindir.</w:t>
      </w:r>
    </w:p>
    <w:p w:rsidR="007B06B9" w:rsidRPr="000B385F" w:rsidRDefault="00870CDE" w:rsidP="000B385F">
      <w:pPr>
        <w:pStyle w:val="edf1450279197849"/>
        <w:widowControl/>
        <w:suppressAutoHyphens w:val="0"/>
        <w:spacing w:after="200"/>
        <w:ind w:left="283" w:right="283" w:firstLine="567"/>
        <w:jc w:val="both"/>
        <w:rPr>
          <w:rFonts w:cs="Times New Roman"/>
          <w:color w:val="010000"/>
        </w:rPr>
      </w:pPr>
      <w:r w:rsidRPr="000B385F">
        <w:rPr>
          <w:rFonts w:cs="Times New Roman"/>
          <w:color w:val="010000"/>
        </w:rPr>
        <w:t>2.</w:t>
      </w:r>
      <w:r w:rsidR="000B385F" w:rsidRPr="000B385F">
        <w:rPr>
          <w:rFonts w:cs="Times New Roman"/>
          <w:color w:val="010000"/>
        </w:rPr>
        <w:t xml:space="preserve"> </w:t>
      </w:r>
      <w:r w:rsidRPr="000B385F">
        <w:rPr>
          <w:rFonts w:cs="Times New Roman"/>
          <w:color w:val="010000"/>
        </w:rPr>
        <w:t xml:space="preserve">Ekli listenin (B) sütununda gösterilen dosyalar, konu yönünden hukuki irtibat bulunması nedeniyle 2022/22017 numaralı bireysel başvuru dosyası ile birleştirilmiş; diğer başvuru dosyaları kapatılmış ve inceleme 2022/22017 numaralı bireysel başvuru dosyası üzerinden yürütülmüştür. </w:t>
      </w:r>
    </w:p>
    <w:p w:rsidR="007B06B9" w:rsidRPr="000B385F" w:rsidRDefault="00870CDE" w:rsidP="000B385F">
      <w:pPr>
        <w:pStyle w:val="edf1450279197849"/>
        <w:widowControl/>
        <w:suppressAutoHyphens w:val="0"/>
        <w:spacing w:after="200"/>
        <w:ind w:left="283" w:right="283" w:firstLine="567"/>
        <w:jc w:val="both"/>
        <w:rPr>
          <w:rFonts w:cs="Times New Roman"/>
          <w:color w:val="010000"/>
        </w:rPr>
      </w:pPr>
      <w:r w:rsidRPr="000B385F">
        <w:rPr>
          <w:rFonts w:cs="Times New Roman"/>
          <w:color w:val="010000"/>
        </w:rPr>
        <w:t>3.</w:t>
      </w:r>
      <w:r w:rsidR="000B385F" w:rsidRPr="000B385F">
        <w:rPr>
          <w:rFonts w:cs="Times New Roman"/>
          <w:color w:val="010000"/>
        </w:rPr>
        <w:t xml:space="preserve"> </w:t>
      </w:r>
      <w:r w:rsidRPr="000B385F">
        <w:rPr>
          <w:rFonts w:cs="Times New Roman"/>
          <w:color w:val="010000"/>
        </w:rPr>
        <w:t>Başvurucuların taraf oldukları boşanma davalarında deliller toplanmak suretiyle yargılamalar yapılmıştır. 2022/25672 numaralı başvuru haricindeki diğer başvuruların konusu olan yargılamalar kesinleşerek sona ermiştir. Kesinleşen çekişmeli boşanma davalarının yaklaşık 5 yıl ila 10 yıl arasında bir sürede sonuçlandığı görülmüştür. 2022/25672 numaralı başvuruya konu olan boşanma davası ise 9/11/2016 tarihinde açılmış olup hâlen derdesttir.</w:t>
      </w:r>
    </w:p>
    <w:p w:rsidR="007B06B9" w:rsidRPr="000B385F" w:rsidRDefault="00870CDE" w:rsidP="000B385F">
      <w:pPr>
        <w:pStyle w:val="edf1450279197849"/>
        <w:widowControl/>
        <w:suppressAutoHyphens w:val="0"/>
        <w:spacing w:after="200"/>
        <w:ind w:left="283" w:right="283" w:firstLine="567"/>
        <w:jc w:val="both"/>
        <w:rPr>
          <w:rFonts w:cs="Times New Roman"/>
          <w:color w:val="010000"/>
        </w:rPr>
      </w:pPr>
      <w:r w:rsidRPr="000B385F">
        <w:rPr>
          <w:rFonts w:cs="Times New Roman"/>
          <w:color w:val="010000"/>
        </w:rPr>
        <w:t>4.</w:t>
      </w:r>
      <w:r w:rsidR="000B385F" w:rsidRPr="000B385F">
        <w:rPr>
          <w:rFonts w:cs="Times New Roman"/>
          <w:color w:val="010000"/>
        </w:rPr>
        <w:t xml:space="preserve"> </w:t>
      </w:r>
      <w:r w:rsidRPr="000B385F">
        <w:rPr>
          <w:rFonts w:cs="Times New Roman"/>
          <w:color w:val="010000"/>
        </w:rPr>
        <w:t>Başvurular, süresi içinde yapılmıştır.</w:t>
      </w:r>
      <w:r w:rsidR="000B385F" w:rsidRPr="000B385F">
        <w:rPr>
          <w:rFonts w:cs="Times New Roman"/>
          <w:color w:val="010000"/>
        </w:rPr>
        <w:t xml:space="preserve"> </w:t>
      </w:r>
      <w:r w:rsidRPr="000B385F">
        <w:rPr>
          <w:rFonts w:cs="Times New Roman"/>
          <w:color w:val="010000"/>
        </w:rPr>
        <w:t>2022/22017, 2022/25672 ve</w:t>
      </w:r>
      <w:r w:rsidRPr="000B385F">
        <w:rPr>
          <w:rFonts w:cs="Times New Roman"/>
          <w:b/>
          <w:color w:val="010000"/>
        </w:rPr>
        <w:t xml:space="preserve"> </w:t>
      </w:r>
      <w:r w:rsidRPr="000B385F">
        <w:rPr>
          <w:rFonts w:cs="Times New Roman"/>
          <w:color w:val="010000"/>
        </w:rPr>
        <w:t xml:space="preserve">2022/50383 numaralı dosyalarda komisyonca adil yargılanma hakkı kapsamında makul sürede yargılanma hakkının ihlal edildiği iddiasının </w:t>
      </w:r>
      <w:r w:rsidRPr="000B385F">
        <w:rPr>
          <w:rFonts w:cs="Times New Roman"/>
          <w:i/>
          <w:iCs/>
          <w:color w:val="010000"/>
        </w:rPr>
        <w:t>başvuru yollarının tüketilmemesi</w:t>
      </w:r>
      <w:r w:rsidRPr="000B385F">
        <w:rPr>
          <w:rFonts w:cs="Times New Roman"/>
          <w:color w:val="010000"/>
        </w:rPr>
        <w:t xml:space="preserve"> nedeniyle kabul edilemez olduğuna, evlenme hakkının ihlal edildiği iddiasının kabul edilebilirlik incelemesinin Bölüm tarafından yapılmasına karar verilmiştir. Ayrıca 2022/50383 numaralı dosyada mülkiyet hakkının ve hakkaniyete uygun yargılanma hakkının ihlal edildiği iddialarının </w:t>
      </w:r>
      <w:r w:rsidRPr="000B385F">
        <w:rPr>
          <w:rFonts w:cs="Times New Roman"/>
          <w:i/>
          <w:iCs/>
          <w:color w:val="010000"/>
        </w:rPr>
        <w:t>başvuru yollarının tüketilmemesi</w:t>
      </w:r>
      <w:r w:rsidRPr="000B385F">
        <w:rPr>
          <w:rFonts w:cs="Times New Roman"/>
          <w:color w:val="010000"/>
        </w:rPr>
        <w:t xml:space="preserve"> nedeniyle kabul edilemez olduğuna karar verilmiştir. Diğer dosyalarda ise Komisyonca başvurunun kabul edilebilirlik incelemesinin Bölüm tarafından yapılmasına karar verilmiştir. </w:t>
      </w:r>
    </w:p>
    <w:p w:rsidR="007B06B9" w:rsidRPr="000B385F" w:rsidRDefault="00870CDE" w:rsidP="000B385F">
      <w:pPr>
        <w:pStyle w:val="edf1450279197849"/>
        <w:widowControl/>
        <w:suppressAutoHyphens w:val="0"/>
        <w:spacing w:after="200"/>
        <w:ind w:left="283" w:right="283" w:firstLine="567"/>
        <w:jc w:val="both"/>
        <w:rPr>
          <w:rFonts w:cs="Times New Roman"/>
          <w:color w:val="010000"/>
        </w:rPr>
      </w:pPr>
      <w:r w:rsidRPr="000B385F">
        <w:rPr>
          <w:rFonts w:cs="Times New Roman"/>
          <w:b/>
          <w:color w:val="010000"/>
        </w:rPr>
        <w:t>II.</w:t>
      </w:r>
      <w:r w:rsidR="000B385F" w:rsidRPr="000B385F">
        <w:rPr>
          <w:rFonts w:cs="Times New Roman"/>
          <w:color w:val="010000"/>
        </w:rPr>
        <w:t xml:space="preserve"> </w:t>
      </w:r>
      <w:r w:rsidRPr="000B385F">
        <w:rPr>
          <w:rFonts w:cs="Times New Roman"/>
          <w:b/>
          <w:color w:val="010000"/>
        </w:rPr>
        <w:t>DEĞERLENDİRME</w:t>
      </w:r>
    </w:p>
    <w:p w:rsidR="007B06B9" w:rsidRPr="000B385F" w:rsidRDefault="00870CDE" w:rsidP="000B385F">
      <w:pPr>
        <w:widowControl/>
        <w:suppressAutoHyphens w:val="0"/>
        <w:spacing w:after="200"/>
        <w:ind w:left="283" w:right="283" w:firstLine="567"/>
        <w:jc w:val="both"/>
        <w:rPr>
          <w:color w:val="010000"/>
        </w:rPr>
      </w:pPr>
      <w:r w:rsidRPr="000B385F">
        <w:rPr>
          <w:color w:val="010000"/>
        </w:rPr>
        <w:lastRenderedPageBreak/>
        <w:t>5.</w:t>
      </w:r>
      <w:r w:rsidR="000B385F" w:rsidRPr="000B385F">
        <w:rPr>
          <w:color w:val="010000"/>
        </w:rPr>
        <w:t xml:space="preserve"> </w:t>
      </w:r>
      <w:r w:rsidRPr="000B385F">
        <w:rPr>
          <w:color w:val="010000"/>
        </w:rPr>
        <w:t xml:space="preserve">Talepte bulunan ve ödeme gücünden yoksun olduğu anlaşılan başvurucuların adli yardım taleplerinin kabulüne karar verilmesi gerekir. </w:t>
      </w:r>
    </w:p>
    <w:p w:rsidR="007B06B9" w:rsidRPr="000B385F" w:rsidRDefault="00870CDE" w:rsidP="000B385F">
      <w:pPr>
        <w:widowControl/>
        <w:suppressAutoHyphens w:val="0"/>
        <w:spacing w:after="200"/>
        <w:ind w:left="283" w:right="283" w:firstLine="567"/>
        <w:jc w:val="both"/>
        <w:rPr>
          <w:color w:val="010000"/>
        </w:rPr>
      </w:pPr>
      <w:r w:rsidRPr="000B385F">
        <w:rPr>
          <w:color w:val="010000"/>
        </w:rPr>
        <w:t>6. Başvurucular, hızlı ve etkili bir yargılama süreci yürütülmediğinden evlenme hakkının ihlal edildiğini ileri sürmüştür.</w:t>
      </w:r>
    </w:p>
    <w:p w:rsidR="007B06B9" w:rsidRPr="000B385F" w:rsidRDefault="00870CDE" w:rsidP="000B385F">
      <w:pPr>
        <w:pStyle w:val="edf1450279197849"/>
        <w:widowControl/>
        <w:suppressAutoHyphens w:val="0"/>
        <w:spacing w:after="200"/>
        <w:ind w:left="283" w:right="283" w:firstLine="567"/>
        <w:jc w:val="both"/>
        <w:rPr>
          <w:rFonts w:cs="Times New Roman"/>
          <w:color w:val="010000"/>
        </w:rPr>
      </w:pPr>
      <w:r w:rsidRPr="000B385F">
        <w:rPr>
          <w:rFonts w:cs="Times New Roman"/>
          <w:color w:val="010000"/>
        </w:rPr>
        <w:t>7.</w:t>
      </w:r>
      <w:r w:rsidR="000B385F" w:rsidRPr="000B385F">
        <w:rPr>
          <w:rFonts w:cs="Times New Roman"/>
          <w:color w:val="010000"/>
        </w:rPr>
        <w:t xml:space="preserve"> </w:t>
      </w:r>
      <w:r w:rsidRPr="000B385F">
        <w:rPr>
          <w:rFonts w:cs="Times New Roman"/>
          <w:color w:val="010000"/>
        </w:rPr>
        <w:t xml:space="preserve">Adalet Bakanlığı (Bakanlık) görüşünde, başvurucuların özel hayata saygı hakkı kapsamında kalan evlenme hakkının ihlal edilip edilmediği konusunda yapılacak incelemede Anayasa ve ilgili mevzuat hükümleri ile somut olayın kendine özgü koşullarının dikkate alınması gerektiği belirtilmiştir. </w:t>
      </w:r>
    </w:p>
    <w:p w:rsidR="007B06B9" w:rsidRPr="000B385F" w:rsidRDefault="00870CDE" w:rsidP="000B385F">
      <w:pPr>
        <w:pStyle w:val="edf1450279197849"/>
        <w:widowControl/>
        <w:suppressAutoHyphens w:val="0"/>
        <w:spacing w:after="200"/>
        <w:ind w:left="283" w:right="283" w:firstLine="567"/>
        <w:jc w:val="both"/>
        <w:rPr>
          <w:rFonts w:cs="Times New Roman"/>
          <w:color w:val="010000"/>
        </w:rPr>
      </w:pPr>
      <w:r w:rsidRPr="000B385F">
        <w:rPr>
          <w:rFonts w:cs="Times New Roman"/>
          <w:color w:val="010000"/>
        </w:rPr>
        <w:t>8.</w:t>
      </w:r>
      <w:r w:rsidR="000B385F" w:rsidRPr="000B385F">
        <w:rPr>
          <w:rFonts w:cs="Times New Roman"/>
          <w:color w:val="010000"/>
        </w:rPr>
        <w:t xml:space="preserve"> </w:t>
      </w:r>
      <w:r w:rsidRPr="000B385F">
        <w:rPr>
          <w:rFonts w:cs="Times New Roman"/>
          <w:color w:val="010000"/>
        </w:rPr>
        <w:t>Başvurucular, boşanma davasına ilişkin sürecin uzaması nedeniyle yeniden evlenme/aile kurma hakkından mahrum bırakıldığını ileri sürmektedir. Evlenme hakkı Avrupa İnsan Hakları Sözleşmesi'nin 12. maddesinde ayrıca ve özel olarak düzenlenmiştir. Anayasa'da ise evlenme hakkı ile ilgili açık bir normatif düzenleme bulunmamakla birlikte bu hakkın Anayasa'da yer verilen bazı hükümlerde mündemiç olduğu Anayasa Mahkemesince kabul edilmiştir (</w:t>
      </w:r>
      <w:r w:rsidRPr="000B385F">
        <w:rPr>
          <w:rFonts w:cs="Times New Roman"/>
          <w:i/>
          <w:iCs/>
          <w:color w:val="010000"/>
        </w:rPr>
        <w:t xml:space="preserve">Hüseyin Kesici </w:t>
      </w:r>
      <w:r w:rsidRPr="000B385F">
        <w:rPr>
          <w:rFonts w:cs="Times New Roman"/>
          <w:color w:val="010000"/>
        </w:rPr>
        <w:t xml:space="preserve">[1. B.], B. No: 2013/3440, 20/4/2016, § 44; </w:t>
      </w:r>
      <w:r w:rsidRPr="000B385F">
        <w:rPr>
          <w:rFonts w:cs="Times New Roman"/>
          <w:i/>
          <w:iCs/>
          <w:color w:val="010000"/>
        </w:rPr>
        <w:t xml:space="preserve">Ö.Ç. </w:t>
      </w:r>
      <w:r w:rsidRPr="000B385F">
        <w:rPr>
          <w:rFonts w:cs="Times New Roman"/>
          <w:color w:val="010000"/>
        </w:rPr>
        <w:t xml:space="preserve">[1. B.], B. No: 2014/8203, 21/9/2016, § 51; </w:t>
      </w:r>
      <w:r w:rsidRPr="000B385F">
        <w:rPr>
          <w:rFonts w:cs="Times New Roman"/>
          <w:i/>
          <w:iCs/>
          <w:color w:val="010000"/>
        </w:rPr>
        <w:t>D.K</w:t>
      </w:r>
      <w:r w:rsidRPr="000B385F">
        <w:rPr>
          <w:rFonts w:cs="Times New Roman"/>
          <w:color w:val="010000"/>
        </w:rPr>
        <w:t>.</w:t>
      </w:r>
      <w:r w:rsidRPr="000B385F">
        <w:rPr>
          <w:rFonts w:cs="Times New Roman"/>
          <w:i/>
          <w:iCs/>
          <w:color w:val="010000"/>
        </w:rPr>
        <w:t xml:space="preserve"> </w:t>
      </w:r>
      <w:r w:rsidRPr="000B385F">
        <w:rPr>
          <w:rFonts w:cs="Times New Roman"/>
          <w:color w:val="010000"/>
        </w:rPr>
        <w:t xml:space="preserve">[2. B.], B. No: 2015/11159, 25/9/2019, § 57; </w:t>
      </w:r>
      <w:r w:rsidRPr="000B385F">
        <w:rPr>
          <w:rFonts w:cs="Times New Roman"/>
          <w:i/>
          <w:iCs/>
          <w:color w:val="010000"/>
        </w:rPr>
        <w:t xml:space="preserve">S.A. </w:t>
      </w:r>
      <w:r w:rsidRPr="000B385F">
        <w:rPr>
          <w:rFonts w:cs="Times New Roman"/>
          <w:color w:val="010000"/>
        </w:rPr>
        <w:t xml:space="preserve">[1. B.], B. No: 2017/40199, 8/9/2020, § 48; </w:t>
      </w:r>
      <w:proofErr w:type="spellStart"/>
      <w:r w:rsidRPr="000B385F">
        <w:rPr>
          <w:rFonts w:cs="Times New Roman"/>
          <w:i/>
          <w:iCs/>
          <w:color w:val="010000"/>
        </w:rPr>
        <w:t>Sabire</w:t>
      </w:r>
      <w:proofErr w:type="spellEnd"/>
      <w:r w:rsidRPr="000B385F">
        <w:rPr>
          <w:rFonts w:cs="Times New Roman"/>
          <w:i/>
          <w:iCs/>
          <w:color w:val="010000"/>
        </w:rPr>
        <w:t xml:space="preserve"> Güngör</w:t>
      </w:r>
      <w:r w:rsidRPr="000B385F">
        <w:rPr>
          <w:rFonts w:cs="Times New Roman"/>
          <w:color w:val="010000"/>
        </w:rPr>
        <w:t xml:space="preserve"> [GK], B. No: 2019/32487, 29/2/2024, § 40).</w:t>
      </w:r>
    </w:p>
    <w:p w:rsidR="007B06B9" w:rsidRPr="000B385F" w:rsidRDefault="00870CDE" w:rsidP="000B385F">
      <w:pPr>
        <w:widowControl/>
        <w:suppressAutoHyphens w:val="0"/>
        <w:spacing w:after="200"/>
        <w:ind w:left="283" w:right="283" w:firstLine="567"/>
        <w:jc w:val="both"/>
        <w:rPr>
          <w:color w:val="010000"/>
        </w:rPr>
      </w:pPr>
      <w:r w:rsidRPr="000B385F">
        <w:rPr>
          <w:color w:val="010000"/>
        </w:rPr>
        <w:t>9.</w:t>
      </w:r>
      <w:r w:rsidR="000B385F" w:rsidRPr="000B385F">
        <w:rPr>
          <w:color w:val="010000"/>
        </w:rPr>
        <w:t xml:space="preserve"> </w:t>
      </w:r>
      <w:r w:rsidRPr="000B385F">
        <w:rPr>
          <w:color w:val="010000"/>
        </w:rPr>
        <w:t>Anayasa Mahkemesine göre Anayasa'nın 20. ve 41. maddeleri, evlenme ve aile kurma hakkı açısından önemli birer normatif dayanaktır (</w:t>
      </w:r>
      <w:r w:rsidRPr="000B385F">
        <w:rPr>
          <w:i/>
          <w:iCs/>
          <w:color w:val="010000"/>
        </w:rPr>
        <w:t>Hüseyin Kesici</w:t>
      </w:r>
      <w:r w:rsidRPr="000B385F">
        <w:rPr>
          <w:color w:val="010000"/>
        </w:rPr>
        <w:t>, § 44;</w:t>
      </w:r>
      <w:r w:rsidRPr="000B385F">
        <w:rPr>
          <w:i/>
          <w:iCs/>
          <w:color w:val="010000"/>
        </w:rPr>
        <w:t>S.A.</w:t>
      </w:r>
      <w:r w:rsidRPr="000B385F">
        <w:rPr>
          <w:color w:val="010000"/>
        </w:rPr>
        <w:t xml:space="preserve">, § 50, </w:t>
      </w:r>
      <w:r w:rsidRPr="000B385F">
        <w:rPr>
          <w:i/>
          <w:iCs/>
          <w:color w:val="010000"/>
        </w:rPr>
        <w:t>Ö.Ç</w:t>
      </w:r>
      <w:r w:rsidRPr="000B385F">
        <w:rPr>
          <w:color w:val="010000"/>
        </w:rPr>
        <w:t xml:space="preserve">., § 51; </w:t>
      </w:r>
      <w:r w:rsidRPr="000B385F">
        <w:rPr>
          <w:i/>
          <w:iCs/>
          <w:color w:val="010000"/>
        </w:rPr>
        <w:t>D.K</w:t>
      </w:r>
      <w:r w:rsidRPr="000B385F">
        <w:rPr>
          <w:color w:val="010000"/>
        </w:rPr>
        <w:t>., § 57;</w:t>
      </w:r>
      <w:r w:rsidRPr="000B385F">
        <w:rPr>
          <w:i/>
          <w:iCs/>
          <w:color w:val="010000"/>
        </w:rPr>
        <w:t xml:space="preserve"> </w:t>
      </w:r>
      <w:proofErr w:type="spellStart"/>
      <w:r w:rsidRPr="000B385F">
        <w:rPr>
          <w:i/>
          <w:iCs/>
          <w:color w:val="010000"/>
        </w:rPr>
        <w:t>Sabire</w:t>
      </w:r>
      <w:proofErr w:type="spellEnd"/>
      <w:r w:rsidRPr="000B385F">
        <w:rPr>
          <w:i/>
          <w:iCs/>
          <w:color w:val="010000"/>
        </w:rPr>
        <w:t xml:space="preserve"> Güngör, </w:t>
      </w:r>
      <w:r w:rsidRPr="000B385F">
        <w:rPr>
          <w:color w:val="010000"/>
        </w:rPr>
        <w:t>§ 42).Anayasa'nın 20. maddesinde düzenlenen aile hayatına saygı hakkının güvencelerinden bahsedilebilmesi için öncelikle aile olarak nitelendirilebilen bir birlikteliğin ya da yakın bağın varlığı gerekir (</w:t>
      </w:r>
      <w:r w:rsidRPr="000B385F">
        <w:rPr>
          <w:i/>
          <w:iCs/>
          <w:color w:val="010000"/>
        </w:rPr>
        <w:t>Murat Demir</w:t>
      </w:r>
      <w:r w:rsidRPr="000B385F">
        <w:rPr>
          <w:color w:val="010000"/>
        </w:rPr>
        <w:t xml:space="preserve"> [GK], B. No: 2015/7216, 27/3/2019, § 72). Bununla birlikte aile hayatına saygı hakkı, aile kurma hakkını değil daha önce gerçekleşen bir evlilikle ortaya çıkan aile hayatına saygıyı korumaktadır. Aile kurma/evlenme hakkı ise belirli şartları taşıyan bireylerin kanunlara uygun şekilde evlenebilmeleri açısından hakkın amacına uygun şekilde gerekli koşulların ve kolaylığın sağlanmasını güvence altına almaktadır. Anılan madde ve Anayasa'nın 41. maddesinin gerekçesinden hareketle Anayasa Mahkemesi amaçsal bir yorum ile belirtilen hakkın Anayasa'da güvence altına alındığı sonucuna ulaşmıştır (</w:t>
      </w:r>
      <w:r w:rsidRPr="000B385F">
        <w:rPr>
          <w:i/>
          <w:iCs/>
          <w:color w:val="010000"/>
        </w:rPr>
        <w:t>Hüseyin Kesici</w:t>
      </w:r>
      <w:r w:rsidRPr="000B385F">
        <w:rPr>
          <w:color w:val="010000"/>
        </w:rPr>
        <w:t xml:space="preserve">, §§ 44-51; </w:t>
      </w:r>
      <w:r w:rsidRPr="000B385F">
        <w:rPr>
          <w:i/>
          <w:iCs/>
          <w:color w:val="010000"/>
        </w:rPr>
        <w:t>Ö.Ç</w:t>
      </w:r>
      <w:r w:rsidRPr="000B385F">
        <w:rPr>
          <w:color w:val="010000"/>
        </w:rPr>
        <w:t xml:space="preserve">., §§ 51-54; </w:t>
      </w:r>
      <w:r w:rsidRPr="000B385F">
        <w:rPr>
          <w:i/>
          <w:iCs/>
          <w:color w:val="010000"/>
        </w:rPr>
        <w:t>D.K</w:t>
      </w:r>
      <w:r w:rsidRPr="000B385F">
        <w:rPr>
          <w:color w:val="010000"/>
        </w:rPr>
        <w:t xml:space="preserve">., § 57; </w:t>
      </w:r>
      <w:r w:rsidRPr="000B385F">
        <w:rPr>
          <w:i/>
          <w:iCs/>
          <w:color w:val="010000"/>
        </w:rPr>
        <w:t>S.A.</w:t>
      </w:r>
      <w:r w:rsidRPr="000B385F">
        <w:rPr>
          <w:color w:val="010000"/>
        </w:rPr>
        <w:t>, §§ 50, 51;</w:t>
      </w:r>
      <w:r w:rsidRPr="000B385F">
        <w:rPr>
          <w:i/>
          <w:iCs/>
          <w:color w:val="010000"/>
        </w:rPr>
        <w:t xml:space="preserve"> Sabire Güngör</w:t>
      </w:r>
      <w:r w:rsidRPr="000B385F">
        <w:rPr>
          <w:color w:val="010000"/>
        </w:rPr>
        <w:t>, §§ 40-43).</w:t>
      </w:r>
    </w:p>
    <w:p w:rsidR="007B06B9" w:rsidRPr="000B385F" w:rsidRDefault="00870CDE" w:rsidP="000B385F">
      <w:pPr>
        <w:widowControl/>
        <w:suppressAutoHyphens w:val="0"/>
        <w:spacing w:after="200"/>
        <w:ind w:left="283" w:right="283" w:firstLine="567"/>
        <w:jc w:val="both"/>
        <w:rPr>
          <w:color w:val="010000"/>
        </w:rPr>
      </w:pPr>
      <w:r w:rsidRPr="000B385F">
        <w:rPr>
          <w:color w:val="010000"/>
        </w:rPr>
        <w:t>10.</w:t>
      </w:r>
      <w:r w:rsidR="000B385F" w:rsidRPr="000B385F">
        <w:rPr>
          <w:color w:val="010000"/>
        </w:rPr>
        <w:t xml:space="preserve"> </w:t>
      </w:r>
      <w:r w:rsidRPr="000B385F">
        <w:rPr>
          <w:color w:val="010000"/>
        </w:rPr>
        <w:t xml:space="preserve">Bununla birlikte Anayasa Mahkemesi, anılan hakkı salt belirli bir kişiyle evlenme talebiyle sınırlamamış olup değerlendirmede geniş anlamda </w:t>
      </w:r>
      <w:r w:rsidRPr="000B385F">
        <w:rPr>
          <w:i/>
          <w:iCs/>
          <w:color w:val="010000"/>
        </w:rPr>
        <w:t xml:space="preserve">aile kurma </w:t>
      </w:r>
      <w:r w:rsidRPr="000B385F">
        <w:rPr>
          <w:color w:val="010000"/>
        </w:rPr>
        <w:t>iradesini esas almaktadır. Ayrıca hukuk sistemimizde mevcut evliliğin sona ermesiyle yeniden evlenmenin mümkün olduğunu, sadakat yükümlülüğünün boşanma davası süresince de devam ettiğini gözeterek kişinin özel ve aile hayatını düzenleyebilmesi, aile kurma bağlamında özel hayatına dair kararlar alabilmesi için devletin boşanma davalarını makul bir sürede sonlandırma yükümlülüğü olduğunu kabul etmiştir (</w:t>
      </w:r>
      <w:r w:rsidRPr="000B385F">
        <w:rPr>
          <w:i/>
          <w:iCs/>
          <w:color w:val="010000"/>
        </w:rPr>
        <w:t xml:space="preserve">Sabire Güngör, </w:t>
      </w:r>
      <w:r w:rsidRPr="000B385F">
        <w:rPr>
          <w:color w:val="010000"/>
        </w:rPr>
        <w:t>§ 44). Dolayısıyla boşanma davasına ilişkin sürecin ve akabinde gerçekleştirilecek işlemlerin hakkın özünü zedelemeyecek şekilde uygun bir zaman aralığında ve etkili hukuki çarelere başvurularak tamamlanması evlenme hakkının gerekliliklerinden biri olarak ortaya çıkmaktadır (</w:t>
      </w:r>
      <w:r w:rsidRPr="000B385F">
        <w:rPr>
          <w:i/>
          <w:iCs/>
          <w:color w:val="010000"/>
        </w:rPr>
        <w:t>D.K.</w:t>
      </w:r>
      <w:r w:rsidRPr="000B385F">
        <w:rPr>
          <w:color w:val="010000"/>
        </w:rPr>
        <w:t xml:space="preserve">, § 61; </w:t>
      </w:r>
      <w:r w:rsidRPr="000B385F">
        <w:rPr>
          <w:i/>
          <w:iCs/>
          <w:color w:val="010000"/>
        </w:rPr>
        <w:t>S.A</w:t>
      </w:r>
      <w:r w:rsidRPr="000B385F">
        <w:rPr>
          <w:color w:val="010000"/>
        </w:rPr>
        <w:t>., § 56). Bu kapsamda boşanma davasının evlenme hakkının özünü zedeler bir duruma gelmemesi noktasında devlete yüklenen pozitif yükümlülük kararın sonucundan ziyade usulüne ilişkindir (</w:t>
      </w:r>
      <w:r w:rsidRPr="000B385F">
        <w:rPr>
          <w:i/>
          <w:iCs/>
          <w:color w:val="010000"/>
        </w:rPr>
        <w:t>S. A</w:t>
      </w:r>
      <w:r w:rsidRPr="000B385F">
        <w:rPr>
          <w:color w:val="010000"/>
        </w:rPr>
        <w:t xml:space="preserve">., § 58; </w:t>
      </w:r>
      <w:r w:rsidRPr="000B385F">
        <w:rPr>
          <w:i/>
          <w:iCs/>
          <w:color w:val="010000"/>
        </w:rPr>
        <w:t xml:space="preserve">Ö.Ç., </w:t>
      </w:r>
      <w:r w:rsidRPr="000B385F">
        <w:rPr>
          <w:color w:val="010000"/>
        </w:rPr>
        <w:t xml:space="preserve">§ 7; </w:t>
      </w:r>
      <w:r w:rsidRPr="000B385F">
        <w:rPr>
          <w:i/>
          <w:iCs/>
          <w:color w:val="010000"/>
        </w:rPr>
        <w:t>Sabire Güngör</w:t>
      </w:r>
      <w:r w:rsidRPr="000B385F">
        <w:rPr>
          <w:color w:val="010000"/>
        </w:rPr>
        <w:t>, § 52).</w:t>
      </w:r>
    </w:p>
    <w:p w:rsidR="007B06B9" w:rsidRPr="000B385F" w:rsidRDefault="00870CDE" w:rsidP="000B385F">
      <w:pPr>
        <w:widowControl/>
        <w:suppressAutoHyphens w:val="0"/>
        <w:spacing w:after="200"/>
        <w:ind w:left="283" w:right="283" w:firstLine="567"/>
        <w:jc w:val="both"/>
        <w:rPr>
          <w:color w:val="010000"/>
        </w:rPr>
      </w:pPr>
      <w:r w:rsidRPr="000B385F">
        <w:rPr>
          <w:color w:val="010000"/>
        </w:rPr>
        <w:t>11.</w:t>
      </w:r>
      <w:r w:rsidR="000B385F" w:rsidRPr="000B385F">
        <w:rPr>
          <w:color w:val="010000"/>
        </w:rPr>
        <w:t xml:space="preserve"> </w:t>
      </w:r>
      <w:r w:rsidRPr="000B385F">
        <w:rPr>
          <w:color w:val="010000"/>
        </w:rPr>
        <w:t>Bununla birlikte devletin pozitif yükümlülüklerinin temelinde ailenin kurulması ile evliliğin gerçekleştirilmesine yönelik hukuki şartların düzenlenmesi ve uygulanması olduğu söylenebilir (</w:t>
      </w:r>
      <w:r w:rsidRPr="000B385F">
        <w:rPr>
          <w:i/>
          <w:iCs/>
          <w:color w:val="010000"/>
        </w:rPr>
        <w:t>D.K.</w:t>
      </w:r>
      <w:r w:rsidRPr="000B385F">
        <w:rPr>
          <w:color w:val="010000"/>
        </w:rPr>
        <w:t xml:space="preserve">, § 60; </w:t>
      </w:r>
      <w:r w:rsidRPr="000B385F">
        <w:rPr>
          <w:i/>
          <w:iCs/>
          <w:color w:val="010000"/>
        </w:rPr>
        <w:t>S.A</w:t>
      </w:r>
      <w:r w:rsidRPr="000B385F">
        <w:rPr>
          <w:color w:val="010000"/>
        </w:rPr>
        <w:t xml:space="preserve">., § 55; </w:t>
      </w:r>
      <w:r w:rsidRPr="000B385F">
        <w:rPr>
          <w:i/>
          <w:iCs/>
          <w:color w:val="010000"/>
        </w:rPr>
        <w:t xml:space="preserve">Ö.Ç., </w:t>
      </w:r>
      <w:r w:rsidRPr="000B385F">
        <w:rPr>
          <w:color w:val="010000"/>
        </w:rPr>
        <w:t xml:space="preserve">§ 53). Bu bağlamda evlenmeyi aşırı derece zorlaştıran prosedürlere yer verilmemesi ve evlenmeye ilişkin normların ayrımcı </w:t>
      </w:r>
      <w:r w:rsidRPr="000B385F">
        <w:rPr>
          <w:color w:val="010000"/>
        </w:rPr>
        <w:lastRenderedPageBreak/>
        <w:t>bir şekilde uygulanmaması da gerekmektedir (</w:t>
      </w:r>
      <w:r w:rsidRPr="000B385F">
        <w:rPr>
          <w:i/>
          <w:iCs/>
          <w:color w:val="010000"/>
        </w:rPr>
        <w:t>Hüseyin Kesici</w:t>
      </w:r>
      <w:r w:rsidRPr="000B385F">
        <w:rPr>
          <w:color w:val="010000"/>
        </w:rPr>
        <w:t xml:space="preserve">, § 48). Anılan ilkeler çerçevesinde Anayasa Mahkemesi evliliğe ilişkin sınırlamalara ve boşanma davasının uzun sürmesi nedeniyle yeniden evlenme/aile kurma hakkının ihlal edildiğine ilişkin iddiaları özel hayata saygı hakkının kapsamı içinde bulunan evlenme hakkı bağlamında incelenmiştir (Bu yönde kararlar için bkz. boşanma davasının uzun sürmesine ilişkin </w:t>
      </w:r>
      <w:r w:rsidRPr="000B385F">
        <w:rPr>
          <w:i/>
          <w:iCs/>
          <w:color w:val="010000"/>
        </w:rPr>
        <w:t>D.K</w:t>
      </w:r>
      <w:r w:rsidRPr="000B385F">
        <w:rPr>
          <w:color w:val="010000"/>
        </w:rPr>
        <w:t xml:space="preserve">.; S.A.; </w:t>
      </w:r>
      <w:r w:rsidRPr="000B385F">
        <w:rPr>
          <w:i/>
          <w:iCs/>
          <w:color w:val="010000"/>
        </w:rPr>
        <w:t xml:space="preserve">Muhammet Seme </w:t>
      </w:r>
      <w:r w:rsidRPr="000B385F">
        <w:rPr>
          <w:color w:val="010000"/>
        </w:rPr>
        <w:t>[1. B.]</w:t>
      </w:r>
      <w:r w:rsidRPr="000B385F">
        <w:rPr>
          <w:i/>
          <w:iCs/>
          <w:color w:val="010000"/>
        </w:rPr>
        <w:t>,</w:t>
      </w:r>
      <w:r w:rsidRPr="000B385F">
        <w:rPr>
          <w:color w:val="010000"/>
        </w:rPr>
        <w:t xml:space="preserve"> B. No: 2021/24581, 17/9/2024; </w:t>
      </w:r>
      <w:r w:rsidRPr="000B385F">
        <w:rPr>
          <w:i/>
          <w:iCs/>
          <w:color w:val="010000"/>
        </w:rPr>
        <w:t xml:space="preserve">Sabire Güngör; </w:t>
      </w:r>
      <w:r w:rsidRPr="000B385F">
        <w:rPr>
          <w:color w:val="010000"/>
        </w:rPr>
        <w:t>sınırlamalar için</w:t>
      </w:r>
      <w:r w:rsidRPr="000B385F">
        <w:rPr>
          <w:i/>
          <w:iCs/>
          <w:color w:val="010000"/>
        </w:rPr>
        <w:t xml:space="preserve"> Hüseyin Kesici; Ö.Ç.</w:t>
      </w:r>
      <w:r w:rsidRPr="000B385F">
        <w:rPr>
          <w:color w:val="010000"/>
        </w:rPr>
        <w:t>).</w:t>
      </w:r>
    </w:p>
    <w:p w:rsidR="007B06B9" w:rsidRPr="000B385F" w:rsidRDefault="00870CDE" w:rsidP="000B385F">
      <w:pPr>
        <w:widowControl/>
        <w:suppressAutoHyphens w:val="0"/>
        <w:spacing w:after="200"/>
        <w:ind w:left="283" w:right="283" w:firstLine="567"/>
        <w:jc w:val="both"/>
        <w:rPr>
          <w:color w:val="010000"/>
        </w:rPr>
      </w:pPr>
      <w:r w:rsidRPr="000B385F">
        <w:rPr>
          <w:color w:val="010000"/>
        </w:rPr>
        <w:t>12.</w:t>
      </w:r>
      <w:r w:rsidR="000B385F" w:rsidRPr="000B385F">
        <w:rPr>
          <w:color w:val="010000"/>
        </w:rPr>
        <w:t xml:space="preserve"> </w:t>
      </w:r>
      <w:r w:rsidRPr="000B385F">
        <w:rPr>
          <w:color w:val="010000"/>
        </w:rPr>
        <w:t>Başvuru konusu olaylarda başvurucuların boşanma davasının uzun sürmesi nedeniyle yeniden evlenemediğinden ve aile kuramadığından yakındığı gözetildiğinde anılan kararlarda ulaşılan sonuçtan ayrılmayı gerektirir bir durum görülmemiş ve özel hayata saygı hakkının kapsamı içinde bulunan evlenme hakkı bağlamında inceleme yapılmıştır. Ayrıca açıkça dayanaktan yoksun olmadığı ve kabul edilemezliğine karar verilmesini gerektirecek başka bir neden de bulunmadığı anlaşılan evlenme hakkının ihlal edildiğine ilişkin iddianın kabul edilebilir olduğuna karar verilmesi gerekir.</w:t>
      </w:r>
    </w:p>
    <w:p w:rsidR="007B06B9" w:rsidRPr="000B385F" w:rsidRDefault="00870CDE" w:rsidP="000B385F">
      <w:pPr>
        <w:widowControl/>
        <w:suppressAutoHyphens w:val="0"/>
        <w:spacing w:after="200"/>
        <w:ind w:left="283" w:right="283" w:firstLine="567"/>
        <w:jc w:val="both"/>
        <w:rPr>
          <w:color w:val="010000"/>
        </w:rPr>
      </w:pPr>
      <w:r w:rsidRPr="000B385F">
        <w:rPr>
          <w:color w:val="010000"/>
        </w:rPr>
        <w:t>13.</w:t>
      </w:r>
      <w:r w:rsidR="000B385F" w:rsidRPr="000B385F">
        <w:rPr>
          <w:color w:val="010000"/>
        </w:rPr>
        <w:t xml:space="preserve"> </w:t>
      </w:r>
      <w:r w:rsidRPr="000B385F">
        <w:rPr>
          <w:color w:val="010000"/>
        </w:rPr>
        <w:t>Somut olaylarda açılan çekişmeli boşanma davalarının yaklaşık 5 yıl ila 10 yıl arasında sürdüğü, 2022/25672 numaralı dosyada ise 9 yıl boyunca süren yargılamanın hâlen sonuçlanmadığı görülmektedir. Yargılamalar bir bütün hâlinde değerlendirildiğinde başvurucuların yargılama sürecinde takip ve özen yükümlülüğünü yerine getirmediğinden söz edilemez. Bunun yanında yargılamaların uzamasında başvurucuların bir dahlinin bulunduğunun söylenemeyeceği dikkate alındığında somut olayın koşullarında evlenme hakkını zedelemeyecek şekilde gerekli özen yükümlülüğünün gösterilmediği ve yargılamaların sonuç itibarıyla makul bir sürede tamamlanmadığı sonucuna ulaşmak mümkündür. Böylece devletin boşanma davalarını makul bir sürede sonlandırma yükümlülüğünü yerine getirmediği ve bu suretle kişinin özel ve aile hayatını düzenleyebilmesi, aile kurma bağlamında özel hayatına dair kararlar alabilmesi yönünden başvurucuya evlenme hakkını zedeleyecek şekilde külfet yüklendiği değerlendirilmektedir.</w:t>
      </w:r>
    </w:p>
    <w:p w:rsidR="007B06B9" w:rsidRPr="000B385F" w:rsidRDefault="00870CDE" w:rsidP="000B385F">
      <w:pPr>
        <w:widowControl/>
        <w:suppressAutoHyphens w:val="0"/>
        <w:spacing w:after="200"/>
        <w:ind w:left="283" w:right="283" w:firstLine="567"/>
        <w:jc w:val="both"/>
        <w:rPr>
          <w:color w:val="010000"/>
        </w:rPr>
      </w:pPr>
      <w:r w:rsidRPr="000B385F">
        <w:rPr>
          <w:color w:val="010000"/>
        </w:rPr>
        <w:t>14.</w:t>
      </w:r>
      <w:r w:rsidR="000B385F" w:rsidRPr="000B385F">
        <w:rPr>
          <w:color w:val="010000"/>
        </w:rPr>
        <w:t xml:space="preserve"> </w:t>
      </w:r>
      <w:r w:rsidRPr="000B385F">
        <w:rPr>
          <w:color w:val="010000"/>
        </w:rPr>
        <w:t>Açıklanan gerekçelerle Anayasa'nın 20. ve 41. maddelerinde güvence altına alınanevlenme hakkının ihlal edildiğine karar verilmesi gerekir.</w:t>
      </w:r>
    </w:p>
    <w:p w:rsidR="007B06B9" w:rsidRPr="000B385F" w:rsidRDefault="00870CDE" w:rsidP="000B385F">
      <w:pPr>
        <w:pStyle w:val="edf1450279197849"/>
        <w:widowControl/>
        <w:suppressAutoHyphens w:val="0"/>
        <w:spacing w:after="200"/>
        <w:ind w:left="283" w:right="283" w:firstLine="567"/>
        <w:jc w:val="both"/>
        <w:rPr>
          <w:rFonts w:cs="Times New Roman"/>
          <w:color w:val="010000"/>
        </w:rPr>
      </w:pPr>
      <w:r w:rsidRPr="000B385F">
        <w:rPr>
          <w:rFonts w:cs="Times New Roman"/>
          <w:b/>
          <w:color w:val="010000"/>
        </w:rPr>
        <w:t>III.</w:t>
      </w:r>
      <w:r w:rsidR="000B385F" w:rsidRPr="000B385F">
        <w:rPr>
          <w:rFonts w:cs="Times New Roman"/>
          <w:color w:val="010000"/>
        </w:rPr>
        <w:t xml:space="preserve"> </w:t>
      </w:r>
      <w:r w:rsidRPr="000B385F">
        <w:rPr>
          <w:rFonts w:cs="Times New Roman"/>
          <w:b/>
          <w:color w:val="010000"/>
        </w:rPr>
        <w:t xml:space="preserve">GİDERİM </w:t>
      </w:r>
    </w:p>
    <w:p w:rsidR="007B06B9" w:rsidRPr="000B385F" w:rsidRDefault="00870CDE" w:rsidP="000B385F">
      <w:pPr>
        <w:pStyle w:val="edf1450279197849"/>
        <w:widowControl/>
        <w:suppressAutoHyphens w:val="0"/>
        <w:spacing w:after="200"/>
        <w:ind w:left="283" w:right="283" w:firstLine="567"/>
        <w:jc w:val="both"/>
        <w:rPr>
          <w:rFonts w:cs="Times New Roman"/>
          <w:color w:val="010000"/>
        </w:rPr>
      </w:pPr>
      <w:r w:rsidRPr="000B385F">
        <w:rPr>
          <w:rFonts w:cs="Times New Roman"/>
          <w:color w:val="010000"/>
        </w:rPr>
        <w:t>15.</w:t>
      </w:r>
      <w:r w:rsidR="000B385F" w:rsidRPr="000B385F">
        <w:rPr>
          <w:rFonts w:cs="Times New Roman"/>
          <w:color w:val="010000"/>
        </w:rPr>
        <w:t xml:space="preserve"> </w:t>
      </w:r>
      <w:r w:rsidRPr="000B385F">
        <w:rPr>
          <w:rFonts w:cs="Times New Roman"/>
          <w:color w:val="010000"/>
        </w:rPr>
        <w:t>Başvurucular, ihlalin tespiti ve tazminat talebinde bulunmuştur.</w:t>
      </w:r>
    </w:p>
    <w:p w:rsidR="007B06B9" w:rsidRPr="000B385F" w:rsidRDefault="00870CDE" w:rsidP="000B385F">
      <w:pPr>
        <w:pStyle w:val="edf1450279197849"/>
        <w:widowControl/>
        <w:suppressAutoHyphens w:val="0"/>
        <w:spacing w:after="200"/>
        <w:ind w:left="283" w:right="283" w:firstLine="567"/>
        <w:jc w:val="both"/>
        <w:rPr>
          <w:rFonts w:cs="Times New Roman"/>
          <w:color w:val="010000"/>
        </w:rPr>
      </w:pPr>
      <w:r w:rsidRPr="000B385F">
        <w:rPr>
          <w:rFonts w:cs="Times New Roman"/>
          <w:color w:val="010000"/>
        </w:rPr>
        <w:t>16.</w:t>
      </w:r>
      <w:r w:rsidR="000B385F" w:rsidRPr="000B385F">
        <w:rPr>
          <w:rFonts w:cs="Times New Roman"/>
          <w:color w:val="010000"/>
        </w:rPr>
        <w:t xml:space="preserve"> </w:t>
      </w:r>
      <w:r w:rsidRPr="000B385F">
        <w:rPr>
          <w:rFonts w:cs="Times New Roman"/>
          <w:color w:val="010000"/>
        </w:rPr>
        <w:t>Anayasa Mahkemesi, yapılan inceleme sonucunda Anayasa'nın 20. ve 41. maddelerinde güvence altına alınan evlenme hakkının ihlal edildiğine karar vermiştir. İhlal kararının niteliği gereği ihlalin sonuçlarının ortadan kaldırılması için yeniden yargılama yapılmasında hukuki yarar bulunmamaktadır. Öte yandan yalnızca evlenme hakkının ihlal edildiğinin tespitiyle giderilemeyecek olan manevi zararları karşılığında başvuruculara manevi tazminat ödenmesine karar verilmesi gerekmektedir. Bazı başvurucuların uğradığını iddia ettiği maddi zarar ile tespit edilen ihlal arasında illiyet bağı bulunmayıp başvurucular da yeterli bilgi ve belge sunmadığından maddi tazminat taleplerinin reddine karar verilmesi gerekir.</w:t>
      </w:r>
    </w:p>
    <w:p w:rsidR="007B06B9" w:rsidRPr="000B385F" w:rsidRDefault="00870CDE" w:rsidP="000B385F">
      <w:pPr>
        <w:pStyle w:val="edf1450279197849"/>
        <w:widowControl/>
        <w:suppressAutoHyphens w:val="0"/>
        <w:spacing w:after="200"/>
        <w:ind w:left="283" w:right="283" w:firstLine="567"/>
        <w:jc w:val="both"/>
        <w:rPr>
          <w:rFonts w:cs="Times New Roman"/>
          <w:color w:val="010000"/>
        </w:rPr>
      </w:pPr>
      <w:r w:rsidRPr="000B385F">
        <w:rPr>
          <w:rFonts w:cs="Times New Roman"/>
          <w:b/>
          <w:color w:val="010000"/>
        </w:rPr>
        <w:t>IV.</w:t>
      </w:r>
      <w:r w:rsidR="000B385F" w:rsidRPr="000B385F">
        <w:rPr>
          <w:rFonts w:cs="Times New Roman"/>
          <w:color w:val="010000"/>
        </w:rPr>
        <w:t xml:space="preserve"> </w:t>
      </w:r>
      <w:r w:rsidRPr="000B385F">
        <w:rPr>
          <w:rFonts w:cs="Times New Roman"/>
          <w:b/>
          <w:color w:val="010000"/>
        </w:rPr>
        <w:t xml:space="preserve">HÜKÜM </w:t>
      </w:r>
    </w:p>
    <w:p w:rsidR="007B06B9" w:rsidRPr="000B385F" w:rsidRDefault="00870CDE" w:rsidP="000B385F">
      <w:pPr>
        <w:widowControl/>
        <w:suppressAutoHyphens w:val="0"/>
        <w:spacing w:after="200"/>
        <w:ind w:left="283" w:right="283" w:firstLine="567"/>
        <w:jc w:val="both"/>
        <w:rPr>
          <w:color w:val="010000"/>
        </w:rPr>
      </w:pPr>
      <w:r w:rsidRPr="000B385F">
        <w:rPr>
          <w:color w:val="010000"/>
        </w:rPr>
        <w:t>Açıklanan gerekçelerle;</w:t>
      </w:r>
    </w:p>
    <w:p w:rsidR="007B06B9" w:rsidRPr="000B385F" w:rsidRDefault="00870CDE" w:rsidP="000B385F">
      <w:pPr>
        <w:pStyle w:val="edf1450279197849"/>
        <w:widowControl/>
        <w:suppressAutoHyphens w:val="0"/>
        <w:spacing w:after="200"/>
        <w:ind w:left="283" w:right="283" w:firstLine="567"/>
        <w:jc w:val="both"/>
        <w:rPr>
          <w:rFonts w:cs="Times New Roman"/>
          <w:color w:val="010000"/>
        </w:rPr>
      </w:pPr>
      <w:r w:rsidRPr="000B385F">
        <w:rPr>
          <w:rFonts w:cs="Times New Roman"/>
          <w:color w:val="010000"/>
        </w:rPr>
        <w:t>A.</w:t>
      </w:r>
      <w:r w:rsidR="000B385F" w:rsidRPr="000B385F">
        <w:rPr>
          <w:rFonts w:cs="Times New Roman"/>
          <w:color w:val="010000"/>
        </w:rPr>
        <w:t xml:space="preserve"> </w:t>
      </w:r>
      <w:r w:rsidRPr="000B385F">
        <w:rPr>
          <w:rFonts w:cs="Times New Roman"/>
          <w:color w:val="010000"/>
        </w:rPr>
        <w:t>Talepte bulunan başvurucuların adli yardım taleplerinin KABULÜNE,</w:t>
      </w:r>
    </w:p>
    <w:p w:rsidR="007B06B9" w:rsidRPr="000B385F" w:rsidRDefault="00870CDE" w:rsidP="000B385F">
      <w:pPr>
        <w:pStyle w:val="edf1450279197849"/>
        <w:widowControl/>
        <w:suppressAutoHyphens w:val="0"/>
        <w:spacing w:after="200"/>
        <w:ind w:left="283" w:right="283" w:firstLine="567"/>
        <w:jc w:val="both"/>
        <w:rPr>
          <w:rFonts w:cs="Times New Roman"/>
          <w:color w:val="010000"/>
        </w:rPr>
      </w:pPr>
      <w:r w:rsidRPr="000B385F">
        <w:rPr>
          <w:rFonts w:cs="Times New Roman"/>
          <w:color w:val="010000"/>
        </w:rPr>
        <w:lastRenderedPageBreak/>
        <w:t>B.</w:t>
      </w:r>
      <w:r w:rsidR="000B385F" w:rsidRPr="000B385F">
        <w:rPr>
          <w:rFonts w:cs="Times New Roman"/>
          <w:color w:val="010000"/>
        </w:rPr>
        <w:t xml:space="preserve"> </w:t>
      </w:r>
      <w:r w:rsidRPr="000B385F">
        <w:rPr>
          <w:rFonts w:cs="Times New Roman"/>
          <w:color w:val="010000"/>
        </w:rPr>
        <w:t>Talepte bulunan başvurucuların kamuya açık belgelerde kimliğinin gizli tutulması talebinin KABULÜNE,</w:t>
      </w:r>
    </w:p>
    <w:p w:rsidR="007B06B9" w:rsidRPr="000B385F" w:rsidRDefault="00870CDE" w:rsidP="000B385F">
      <w:pPr>
        <w:widowControl/>
        <w:suppressAutoHyphens w:val="0"/>
        <w:spacing w:after="200"/>
        <w:ind w:left="283" w:right="283" w:firstLine="567"/>
        <w:jc w:val="both"/>
        <w:rPr>
          <w:color w:val="010000"/>
        </w:rPr>
      </w:pPr>
      <w:r w:rsidRPr="000B385F">
        <w:rPr>
          <w:color w:val="010000"/>
        </w:rPr>
        <w:t>C.</w:t>
      </w:r>
      <w:r w:rsidR="000B385F" w:rsidRPr="000B385F">
        <w:rPr>
          <w:color w:val="010000"/>
        </w:rPr>
        <w:t xml:space="preserve"> </w:t>
      </w:r>
      <w:r w:rsidRPr="000B385F">
        <w:rPr>
          <w:color w:val="010000"/>
        </w:rPr>
        <w:t>Özel hayata saygı hakkı kapsamında bulunan evlenme hakkının ihlal edildiğine ilişkin iddianın KABUL EDİLEBİLİR OLDUĞUNA,</w:t>
      </w:r>
    </w:p>
    <w:p w:rsidR="007B06B9" w:rsidRPr="000B385F" w:rsidRDefault="00870CDE" w:rsidP="000B385F">
      <w:pPr>
        <w:widowControl/>
        <w:suppressAutoHyphens w:val="0"/>
        <w:spacing w:after="200"/>
        <w:ind w:left="283" w:right="283" w:firstLine="567"/>
        <w:jc w:val="both"/>
        <w:rPr>
          <w:color w:val="010000"/>
        </w:rPr>
      </w:pPr>
      <w:r w:rsidRPr="000B385F">
        <w:rPr>
          <w:color w:val="010000"/>
        </w:rPr>
        <w:t>D.</w:t>
      </w:r>
      <w:r w:rsidR="000B385F" w:rsidRPr="000B385F">
        <w:rPr>
          <w:color w:val="010000"/>
        </w:rPr>
        <w:t xml:space="preserve"> </w:t>
      </w:r>
      <w:r w:rsidRPr="000B385F">
        <w:rPr>
          <w:color w:val="010000"/>
        </w:rPr>
        <w:t>Anayasa’nın 20. ve 41. maddeleri kapsamında güvence altına alınan evlenme hakkının İHLAL EDİLDİĞİNE,</w:t>
      </w:r>
    </w:p>
    <w:p w:rsidR="007B06B9" w:rsidRPr="000B385F" w:rsidRDefault="00870CDE" w:rsidP="000B385F">
      <w:pPr>
        <w:pStyle w:val="edf1450279197849"/>
        <w:widowControl/>
        <w:suppressAutoHyphens w:val="0"/>
        <w:spacing w:after="200"/>
        <w:ind w:left="283" w:right="283" w:firstLine="567"/>
        <w:jc w:val="both"/>
        <w:rPr>
          <w:rFonts w:cs="Times New Roman"/>
          <w:color w:val="010000"/>
        </w:rPr>
      </w:pPr>
      <w:r w:rsidRPr="000B385F">
        <w:rPr>
          <w:rFonts w:cs="Times New Roman"/>
          <w:color w:val="010000"/>
        </w:rPr>
        <w:t>E.</w:t>
      </w:r>
      <w:r w:rsidR="000B385F" w:rsidRPr="000B385F">
        <w:rPr>
          <w:rFonts w:cs="Times New Roman"/>
          <w:color w:val="010000"/>
        </w:rPr>
        <w:t xml:space="preserve"> </w:t>
      </w:r>
      <w:r w:rsidRPr="000B385F">
        <w:rPr>
          <w:rFonts w:cs="Times New Roman"/>
          <w:color w:val="010000"/>
        </w:rPr>
        <w:t>Kararın bir örneğinin bilgi için ekli listenin (Ç) sütununda gösterilen mahkemelere GÖNDERİLMESİNE,</w:t>
      </w:r>
    </w:p>
    <w:p w:rsidR="007B06B9" w:rsidRPr="000B385F" w:rsidRDefault="00870CDE" w:rsidP="000B385F">
      <w:pPr>
        <w:widowControl/>
        <w:suppressAutoHyphens w:val="0"/>
        <w:spacing w:after="200"/>
        <w:ind w:left="283" w:right="283" w:firstLine="567"/>
        <w:jc w:val="both"/>
        <w:rPr>
          <w:color w:val="010000"/>
        </w:rPr>
      </w:pPr>
      <w:r w:rsidRPr="000B385F">
        <w:rPr>
          <w:color w:val="010000"/>
        </w:rPr>
        <w:t>F.</w:t>
      </w:r>
      <w:r w:rsidR="000B385F" w:rsidRPr="000B385F">
        <w:rPr>
          <w:color w:val="010000"/>
        </w:rPr>
        <w:t xml:space="preserve"> </w:t>
      </w:r>
      <w:r w:rsidRPr="000B385F">
        <w:rPr>
          <w:color w:val="010000"/>
        </w:rPr>
        <w:t xml:space="preserve">Ekli tablonun (H) sütununda belirtilen manevi tazminatların başvuruculara AYRI AYRI ÖDENMESİNE, tazminata ilişkin diğer taleplerin REDDİNE, </w:t>
      </w:r>
    </w:p>
    <w:p w:rsidR="007B06B9" w:rsidRPr="000B385F" w:rsidRDefault="00870CDE" w:rsidP="000B385F">
      <w:pPr>
        <w:widowControl/>
        <w:suppressAutoHyphens w:val="0"/>
        <w:spacing w:after="200"/>
        <w:ind w:left="283" w:right="283" w:firstLine="567"/>
        <w:jc w:val="both"/>
        <w:rPr>
          <w:color w:val="010000"/>
        </w:rPr>
      </w:pPr>
      <w:r w:rsidRPr="000B385F">
        <w:rPr>
          <w:color w:val="010000"/>
        </w:rPr>
        <w:t>G.</w:t>
      </w:r>
      <w:r w:rsidR="000B385F" w:rsidRPr="000B385F">
        <w:rPr>
          <w:color w:val="010000"/>
        </w:rPr>
        <w:t xml:space="preserve"> </w:t>
      </w:r>
      <w:r w:rsidRPr="000B385F">
        <w:rPr>
          <w:color w:val="010000"/>
        </w:rPr>
        <w:t>Ekli listenin (E) sütunundaki harçların ve (F) sütunundaki vekâlet ücretlerinin başvuruculara ÖDENMESİNE,</w:t>
      </w:r>
    </w:p>
    <w:p w:rsidR="007B06B9" w:rsidRPr="000B385F" w:rsidRDefault="00870CDE" w:rsidP="000B385F">
      <w:pPr>
        <w:widowControl/>
        <w:suppressAutoHyphens w:val="0"/>
        <w:spacing w:after="200"/>
        <w:ind w:left="283" w:right="283" w:firstLine="567"/>
        <w:jc w:val="both"/>
        <w:rPr>
          <w:color w:val="010000"/>
        </w:rPr>
      </w:pPr>
      <w:r w:rsidRPr="000B385F">
        <w:rPr>
          <w:color w:val="010000"/>
        </w:rPr>
        <w:t>H.</w:t>
      </w:r>
      <w:r w:rsidR="000B385F" w:rsidRPr="000B385F">
        <w:rPr>
          <w:color w:val="010000"/>
        </w:rPr>
        <w:t xml:space="preserve"> </w:t>
      </w:r>
      <w:r w:rsidRPr="000B385F">
        <w:rPr>
          <w:color w:val="010000"/>
        </w:rPr>
        <w:t>Ödemelerin kararın tebliğini takiben başvurucuların Hazine ve Maliye Bakanlığına başvuru tarihinden itibaren dört ay içinde yapılmasına, ödemede gecikme olması hâlinde bu sürenin sona erdiği tarihten ödeme tarihine kadar geçen süre için yasal FAİZ UYGULANMASINA,</w:t>
      </w:r>
    </w:p>
    <w:p w:rsidR="007B06B9" w:rsidRPr="000B385F" w:rsidRDefault="00870CDE" w:rsidP="000B385F">
      <w:pPr>
        <w:widowControl/>
        <w:suppressAutoHyphens w:val="0"/>
        <w:spacing w:after="200"/>
        <w:ind w:left="283" w:right="283" w:firstLine="567"/>
        <w:jc w:val="both"/>
        <w:rPr>
          <w:color w:val="010000"/>
        </w:rPr>
      </w:pPr>
      <w:r w:rsidRPr="000B385F">
        <w:rPr>
          <w:color w:val="010000"/>
        </w:rPr>
        <w:t>İ.</w:t>
      </w:r>
      <w:r w:rsidR="000B385F" w:rsidRPr="000B385F">
        <w:rPr>
          <w:color w:val="010000"/>
        </w:rPr>
        <w:t xml:space="preserve"> </w:t>
      </w:r>
      <w:r w:rsidRPr="000B385F">
        <w:rPr>
          <w:color w:val="010000"/>
        </w:rPr>
        <w:t xml:space="preserve">Kararın bir örneğinin Adalet Bakanlığına GÖNDERİLMESİNE 14/5/2025 tarihinde OYBİRLİĞİYLE karar verildi. </w:t>
      </w:r>
    </w:p>
    <w:sectPr w:rsidR="007B06B9" w:rsidRPr="000B385F" w:rsidSect="000B385F">
      <w:pgSz w:w="11906" w:h="16838"/>
      <w:pgMar w:top="976" w:right="1417" w:bottom="1400" w:left="1417" w:header="400"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6B9" w:rsidRDefault="00870CDE">
      <w:r>
        <w:separator/>
      </w:r>
    </w:p>
  </w:endnote>
  <w:endnote w:type="continuationSeparator" w:id="0">
    <w:p w:rsidR="007B06B9" w:rsidRDefault="00870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ndale Sans UI">
    <w:altName w:val="Calibri"/>
    <w:charset w:val="A2"/>
    <w:family w:val="auto"/>
    <w:pitch w:val="variable"/>
  </w:font>
  <w:font w:name="Liberation Sans">
    <w:charset w:val="A2"/>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Dialog">
    <w:charset w:val="A2"/>
    <w:family w:val="auto"/>
    <w:pitch w:val="default"/>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6B9" w:rsidRDefault="00870CDE">
      <w:r>
        <w:separator/>
      </w:r>
    </w:p>
  </w:footnote>
  <w:footnote w:type="continuationSeparator" w:id="0">
    <w:p w:rsidR="007B06B9" w:rsidRDefault="00870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6B9" w:rsidRDefault="00870CDE" w:rsidP="000B385F">
    <w:pPr>
      <w:pStyle w:val="stBilgi"/>
      <w:tabs>
        <w:tab w:val="left" w:pos="1985"/>
      </w:tabs>
      <w:spacing w:line="288" w:lineRule="exact"/>
    </w:pPr>
    <w:r>
      <w:t>Başvuru Numarası</w:t>
    </w:r>
    <w:r w:rsidR="000B385F">
      <w:tab/>
    </w:r>
    <w:r>
      <w:t>: 2022/22017</w:t>
    </w:r>
  </w:p>
  <w:p w:rsidR="007B06B9" w:rsidRDefault="00870CDE" w:rsidP="000B385F">
    <w:pPr>
      <w:pStyle w:val="stBilgi"/>
      <w:tabs>
        <w:tab w:val="left" w:pos="1985"/>
      </w:tabs>
      <w:spacing w:line="288" w:lineRule="exact"/>
    </w:pPr>
    <w:r>
      <w:t>Karar Tarihi</w:t>
    </w:r>
    <w:r>
      <w:tab/>
      <w:t>: 14/5/2025</w:t>
    </w:r>
  </w:p>
  <w:p w:rsidR="000B385F" w:rsidRDefault="000B385F" w:rsidP="000B385F">
    <w:pPr>
      <w:pStyle w:val="stBilgi"/>
      <w:tabs>
        <w:tab w:val="left" w:pos="1985"/>
      </w:tabs>
      <w:spacing w:line="288"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44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CDE"/>
    <w:rsid w:val="000B385F"/>
    <w:rsid w:val="007B06B9"/>
    <w:rsid w:val="00870C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4FAC5F16"/>
  <w15:chartTrackingRefBased/>
  <w15:docId w15:val="{9FF31416-EEB9-48DB-80A6-D962F896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Andale Sans UI"/>
      <w:kern w:val="2"/>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şlık"/>
    <w:basedOn w:val="Normal"/>
    <w:next w:val="GvdeMetni"/>
    <w:pPr>
      <w:keepNext/>
      <w:spacing w:before="240" w:after="120"/>
    </w:pPr>
    <w:rPr>
      <w:rFonts w:ascii="Liberation Sans" w:eastAsia="MS Gothic" w:hAnsi="Liberation Sans" w:cs="Tahoma"/>
      <w:sz w:val="28"/>
      <w:szCs w:val="28"/>
    </w:rPr>
  </w:style>
  <w:style w:type="paragraph" w:styleId="GvdeMetni">
    <w:name w:val="Body Text"/>
    <w:basedOn w:val="Normal"/>
    <w:pPr>
      <w:spacing w:after="120"/>
    </w:pPr>
  </w:style>
  <w:style w:type="paragraph" w:styleId="KonuBal">
    <w:name w:val="Title"/>
    <w:basedOn w:val="Normal"/>
    <w:qFormat/>
    <w:pPr>
      <w:suppressLineNumbers/>
      <w:spacing w:before="120" w:after="120"/>
    </w:pPr>
    <w:rPr>
      <w:rFonts w:cs="Tahoma"/>
      <w:i/>
      <w:iCs/>
    </w:rPr>
  </w:style>
  <w:style w:type="paragraph" w:styleId="Altyaz">
    <w:name w:val="Subtitle"/>
    <w:basedOn w:val="KonuBal"/>
    <w:next w:val="GvdeMetni"/>
    <w:qFormat/>
    <w:pPr>
      <w:jc w:val="center"/>
    </w:pPr>
    <w:rPr>
      <w:sz w:val="28"/>
      <w:szCs w:val="28"/>
    </w:rPr>
  </w:style>
  <w:style w:type="paragraph" w:styleId="Liste">
    <w:name w:val="List"/>
    <w:basedOn w:val="GvdeMetni"/>
    <w:rPr>
      <w:rFonts w:cs="Tahoma"/>
    </w:rPr>
  </w:style>
  <w:style w:type="paragraph" w:customStyle="1" w:styleId="Dizin">
    <w:name w:val="Dizin"/>
    <w:basedOn w:val="Normal"/>
    <w:pPr>
      <w:suppressLineNumbers/>
    </w:pPr>
    <w:rPr>
      <w:rFonts w:cs="Tahoma"/>
    </w:rPr>
  </w:style>
  <w:style w:type="paragraph" w:customStyle="1" w:styleId="edf1393440552765">
    <w:name w:val="edf_1393440552765"/>
    <w:pPr>
      <w:widowControl w:val="0"/>
      <w:suppressAutoHyphens/>
    </w:pPr>
    <w:rPr>
      <w:rFonts w:eastAsia="Andale Sans UI" w:cs="Tahoma"/>
      <w:kern w:val="2"/>
      <w:sz w:val="24"/>
      <w:szCs w:val="24"/>
      <w:lang w:eastAsia="ja-JP" w:bidi="fa-IR"/>
    </w:rPr>
  </w:style>
  <w:style w:type="paragraph" w:customStyle="1" w:styleId="edf1619613134881">
    <w:name w:val="edf_1619613134881"/>
    <w:pPr>
      <w:widowControl w:val="0"/>
      <w:suppressAutoHyphens/>
    </w:pPr>
    <w:rPr>
      <w:rFonts w:eastAsia="Andale Sans UI" w:cs="Tahoma"/>
      <w:kern w:val="2"/>
      <w:sz w:val="24"/>
      <w:szCs w:val="24"/>
      <w:lang w:eastAsia="ja-JP" w:bidi="fa-IR"/>
    </w:rPr>
  </w:style>
  <w:style w:type="paragraph" w:customStyle="1" w:styleId="edf1436528573148">
    <w:name w:val="edf_1436528573148"/>
    <w:pPr>
      <w:widowControl w:val="0"/>
      <w:suppressAutoHyphens/>
    </w:pPr>
    <w:rPr>
      <w:rFonts w:eastAsia="Andale Sans UI" w:cs="Tahoma"/>
      <w:kern w:val="2"/>
      <w:sz w:val="24"/>
      <w:szCs w:val="24"/>
      <w:lang w:eastAsia="ja-JP" w:bidi="fa-IR"/>
    </w:rPr>
  </w:style>
  <w:style w:type="paragraph" w:customStyle="1" w:styleId="edf1435132244821">
    <w:name w:val="edf_1435132244821"/>
    <w:pPr>
      <w:widowControl w:val="0"/>
      <w:suppressAutoHyphens/>
    </w:pPr>
    <w:rPr>
      <w:rFonts w:eastAsia="Andale Sans UI" w:cs="Tahoma"/>
      <w:kern w:val="2"/>
      <w:sz w:val="24"/>
      <w:szCs w:val="24"/>
      <w:lang w:eastAsia="ja-JP" w:bidi="fa-IR"/>
    </w:rPr>
  </w:style>
  <w:style w:type="paragraph" w:customStyle="1" w:styleId="edf1450278888505">
    <w:name w:val="edf_1450278888505"/>
    <w:pPr>
      <w:widowControl w:val="0"/>
      <w:suppressAutoHyphens/>
    </w:pPr>
    <w:rPr>
      <w:rFonts w:eastAsia="Andale Sans UI" w:cs="Tahoma"/>
      <w:kern w:val="2"/>
      <w:sz w:val="24"/>
      <w:szCs w:val="24"/>
      <w:lang w:eastAsia="ja-JP" w:bidi="fa-IR"/>
    </w:rPr>
  </w:style>
  <w:style w:type="paragraph" w:customStyle="1" w:styleId="edf1449480327858">
    <w:name w:val="edf_1449480327858"/>
    <w:pPr>
      <w:widowControl w:val="0"/>
      <w:suppressAutoHyphens/>
    </w:pPr>
    <w:rPr>
      <w:rFonts w:eastAsia="Andale Sans UI" w:cs="Tahoma"/>
      <w:kern w:val="2"/>
      <w:sz w:val="24"/>
      <w:szCs w:val="24"/>
      <w:lang w:eastAsia="ja-JP" w:bidi="fa-IR"/>
    </w:rPr>
  </w:style>
  <w:style w:type="paragraph" w:customStyle="1" w:styleId="edf1629204665048">
    <w:name w:val="edf_1629204665048"/>
    <w:pPr>
      <w:widowControl w:val="0"/>
      <w:suppressAutoHyphens/>
    </w:pPr>
    <w:rPr>
      <w:rFonts w:ascii="Dialog" w:eastAsia="Andale Sans UI" w:hAnsi="Dialog" w:cs="Tahoma"/>
      <w:color w:val="000000"/>
      <w:kern w:val="2"/>
      <w:sz w:val="24"/>
      <w:szCs w:val="24"/>
      <w:lang w:eastAsia="ja-JP" w:bidi="fa-IR"/>
    </w:rPr>
  </w:style>
  <w:style w:type="paragraph" w:customStyle="1" w:styleId="edf1393440766750">
    <w:name w:val="edf_1393440766750"/>
    <w:pPr>
      <w:widowControl w:val="0"/>
      <w:suppressAutoHyphens/>
    </w:pPr>
    <w:rPr>
      <w:rFonts w:eastAsia="Andale Sans UI" w:cs="Tahoma"/>
      <w:kern w:val="2"/>
      <w:sz w:val="24"/>
      <w:szCs w:val="24"/>
      <w:lang w:eastAsia="ja-JP" w:bidi="fa-IR"/>
    </w:rPr>
  </w:style>
  <w:style w:type="paragraph" w:customStyle="1" w:styleId="edf1419594272479">
    <w:name w:val="edf_1419594272479"/>
    <w:pPr>
      <w:widowControl w:val="0"/>
      <w:suppressAutoHyphens/>
    </w:pPr>
    <w:rPr>
      <w:rFonts w:eastAsia="Andale Sans UI" w:cs="Tahoma"/>
      <w:kern w:val="2"/>
      <w:sz w:val="24"/>
      <w:szCs w:val="24"/>
      <w:lang w:eastAsia="ja-JP" w:bidi="fa-IR"/>
    </w:rPr>
  </w:style>
  <w:style w:type="paragraph" w:customStyle="1" w:styleId="edf1393440831590">
    <w:name w:val="edf_1393440831590"/>
    <w:pPr>
      <w:widowControl w:val="0"/>
      <w:suppressAutoHyphens/>
    </w:pPr>
    <w:rPr>
      <w:rFonts w:eastAsia="Andale Sans UI" w:cs="Tahoma"/>
      <w:kern w:val="2"/>
      <w:sz w:val="24"/>
      <w:szCs w:val="24"/>
      <w:lang w:eastAsia="ja-JP" w:bidi="fa-IR"/>
    </w:rPr>
  </w:style>
  <w:style w:type="paragraph" w:customStyle="1" w:styleId="edf1450279197849">
    <w:name w:val="edf_1450279197849"/>
    <w:pPr>
      <w:widowControl w:val="0"/>
      <w:suppressAutoHyphens/>
    </w:pPr>
    <w:rPr>
      <w:rFonts w:eastAsia="Andale Sans UI" w:cs="Tahoma"/>
      <w:kern w:val="2"/>
      <w:sz w:val="24"/>
      <w:szCs w:val="24"/>
      <w:lang w:eastAsia="ja-JP" w:bidi="fa-IR"/>
    </w:rPr>
  </w:style>
  <w:style w:type="paragraph" w:customStyle="1" w:styleId="default">
    <w:name w:val="default"/>
    <w:pPr>
      <w:widowControl w:val="0"/>
      <w:suppressAutoHyphens/>
    </w:pPr>
    <w:rPr>
      <w:rFonts w:ascii="Dialog" w:eastAsia="Andale Sans UI" w:hAnsi="Dialog" w:cs="Tahoma"/>
      <w:color w:val="333333"/>
      <w:kern w:val="2"/>
      <w:sz w:val="24"/>
      <w:szCs w:val="24"/>
      <w:lang w:eastAsia="ja-JP" w:bidi="fa-IR"/>
    </w:rPr>
  </w:style>
  <w:style w:type="paragraph" w:customStyle="1" w:styleId="edf1444122128676">
    <w:name w:val="edf_1444122128676"/>
    <w:pPr>
      <w:widowControl w:val="0"/>
      <w:suppressAutoHyphens/>
    </w:pPr>
    <w:rPr>
      <w:rFonts w:eastAsia="Andale Sans UI" w:cs="Tahoma"/>
      <w:kern w:val="2"/>
      <w:sz w:val="24"/>
      <w:szCs w:val="24"/>
      <w:lang w:eastAsia="ja-JP" w:bidi="fa-IR"/>
    </w:rPr>
  </w:style>
  <w:style w:type="paragraph" w:customStyle="1" w:styleId="edf1360324668111">
    <w:name w:val="edf_1360324668111"/>
    <w:pPr>
      <w:widowControl w:val="0"/>
      <w:suppressAutoHyphens/>
    </w:pPr>
    <w:rPr>
      <w:rFonts w:eastAsia="Andale Sans UI" w:cs="Tahoma"/>
      <w:kern w:val="2"/>
      <w:sz w:val="24"/>
      <w:szCs w:val="24"/>
      <w:lang w:eastAsia="ja-JP" w:bidi="fa-IR"/>
    </w:rPr>
  </w:style>
  <w:style w:type="paragraph" w:customStyle="1" w:styleId="edf1391432591385">
    <w:name w:val="edf_1391432591385"/>
    <w:pPr>
      <w:widowControl w:val="0"/>
      <w:suppressAutoHyphens/>
    </w:pPr>
    <w:rPr>
      <w:rFonts w:eastAsia="Andale Sans UI" w:cs="Tahoma"/>
      <w:kern w:val="2"/>
      <w:sz w:val="24"/>
      <w:szCs w:val="24"/>
      <w:lang w:eastAsia="ja-JP" w:bidi="fa-IR"/>
    </w:rPr>
  </w:style>
  <w:style w:type="paragraph" w:customStyle="1" w:styleId="edf1449437129215">
    <w:name w:val="edf_1449437129215"/>
    <w:pPr>
      <w:widowControl w:val="0"/>
      <w:suppressAutoHyphens/>
    </w:pPr>
    <w:rPr>
      <w:rFonts w:eastAsia="Andale Sans UI" w:cs="Tahoma"/>
      <w:kern w:val="2"/>
      <w:sz w:val="24"/>
      <w:szCs w:val="24"/>
      <w:lang w:eastAsia="ja-JP" w:bidi="fa-IR"/>
    </w:rPr>
  </w:style>
  <w:style w:type="paragraph" w:customStyle="1" w:styleId="edf1426774601522">
    <w:name w:val="edf_1426774601522"/>
    <w:pPr>
      <w:widowControl w:val="0"/>
      <w:suppressAutoHyphens/>
    </w:pPr>
    <w:rPr>
      <w:rFonts w:eastAsia="Andale Sans UI" w:cs="Tahoma"/>
      <w:kern w:val="2"/>
      <w:sz w:val="24"/>
      <w:szCs w:val="24"/>
      <w:lang w:eastAsia="ja-JP" w:bidi="fa-IR"/>
    </w:rPr>
  </w:style>
  <w:style w:type="paragraph" w:customStyle="1" w:styleId="edf1450279197847">
    <w:name w:val="edf_1450279197847"/>
    <w:pPr>
      <w:widowControl w:val="0"/>
      <w:suppressAutoHyphens/>
    </w:pPr>
    <w:rPr>
      <w:rFonts w:eastAsia="Andale Sans UI" w:cs="Tahoma"/>
      <w:kern w:val="2"/>
      <w:sz w:val="24"/>
      <w:szCs w:val="24"/>
      <w:lang w:eastAsia="ja-JP" w:bidi="fa-IR"/>
    </w:rPr>
  </w:style>
  <w:style w:type="paragraph" w:customStyle="1" w:styleId="hvl-default">
    <w:name w:val="hvl-default"/>
    <w:pPr>
      <w:widowControl w:val="0"/>
      <w:suppressAutoHyphens/>
    </w:pPr>
    <w:rPr>
      <w:rFonts w:eastAsia="Andale Sans UI" w:cs="Tahoma"/>
      <w:kern w:val="2"/>
      <w:sz w:val="24"/>
      <w:szCs w:val="24"/>
      <w:lang w:eastAsia="ja-JP" w:bidi="fa-IR"/>
    </w:rPr>
  </w:style>
  <w:style w:type="paragraph" w:customStyle="1" w:styleId="edf1419597503565">
    <w:name w:val="edf_1419597503565"/>
    <w:pPr>
      <w:widowControl w:val="0"/>
      <w:suppressAutoHyphens/>
    </w:pPr>
    <w:rPr>
      <w:rFonts w:eastAsia="Andale Sans UI" w:cs="Tahoma"/>
      <w:kern w:val="2"/>
      <w:sz w:val="24"/>
      <w:szCs w:val="24"/>
      <w:lang w:eastAsia="ja-JP" w:bidi="fa-IR"/>
    </w:rPr>
  </w:style>
  <w:style w:type="paragraph" w:customStyle="1" w:styleId="edf1363590918387">
    <w:name w:val="edf_1363590918387"/>
    <w:pPr>
      <w:widowControl w:val="0"/>
      <w:suppressAutoHyphens/>
    </w:pPr>
    <w:rPr>
      <w:rFonts w:eastAsia="Andale Sans UI" w:cs="Tahoma"/>
      <w:kern w:val="2"/>
      <w:sz w:val="24"/>
      <w:szCs w:val="24"/>
      <w:lang w:eastAsia="ja-JP" w:bidi="fa-IR"/>
    </w:rPr>
  </w:style>
  <w:style w:type="paragraph" w:customStyle="1" w:styleId="edf1462366472141">
    <w:name w:val="edf_1462366472141"/>
    <w:pPr>
      <w:widowControl w:val="0"/>
      <w:suppressAutoHyphens/>
    </w:pPr>
    <w:rPr>
      <w:rFonts w:eastAsia="Andale Sans UI" w:cs="Tahoma"/>
      <w:kern w:val="2"/>
      <w:sz w:val="24"/>
      <w:szCs w:val="24"/>
      <w:lang w:eastAsia="ja-JP" w:bidi="fa-IR"/>
    </w:rPr>
  </w:style>
  <w:style w:type="paragraph" w:styleId="stBilgi">
    <w:name w:val="header"/>
    <w:pPr>
      <w:widowControl w:val="0"/>
      <w:suppressAutoHyphens/>
    </w:pPr>
    <w:rPr>
      <w:rFonts w:eastAsia="Andale Sans UI" w:cs="Tahoma"/>
      <w:kern w:val="2"/>
      <w:sz w:val="24"/>
      <w:szCs w:val="24"/>
      <w:lang w:eastAsia="ja-JP" w:bidi="fa-IR"/>
    </w:rPr>
  </w:style>
  <w:style w:type="paragraph" w:styleId="AltBilgi">
    <w:name w:val="footer"/>
    <w:basedOn w:val="Normal"/>
    <w:link w:val="AltBilgiChar"/>
    <w:uiPriority w:val="99"/>
    <w:unhideWhenUsed/>
    <w:rsid w:val="000B385F"/>
    <w:pPr>
      <w:tabs>
        <w:tab w:val="center" w:pos="4536"/>
        <w:tab w:val="right" w:pos="9072"/>
      </w:tabs>
    </w:pPr>
  </w:style>
  <w:style w:type="character" w:customStyle="1" w:styleId="AltBilgiChar">
    <w:name w:val="Alt Bilgi Char"/>
    <w:basedOn w:val="VarsaylanParagrafYazTipi"/>
    <w:link w:val="AltBilgi"/>
    <w:uiPriority w:val="99"/>
    <w:rsid w:val="000B385F"/>
    <w:rPr>
      <w:rFonts w:eastAsia="Andale Sans U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1511</Words>
  <Characters>8614</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EKER</dc:creator>
  <cp:keywords/>
  <cp:lastModifiedBy>Sibel YÖNDEM</cp:lastModifiedBy>
  <cp:revision>3</cp:revision>
  <cp:lastPrinted>1995-11-21T14:41:00Z</cp:lastPrinted>
  <dcterms:created xsi:type="dcterms:W3CDTF">2025-07-22T09:15:00Z</dcterms:created>
  <dcterms:modified xsi:type="dcterms:W3CDTF">2025-07-25T11:48:00Z</dcterms:modified>
</cp:coreProperties>
</file>